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pepper is native to southern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berries are harvested from vines at different stages of maturity.</w:t>
      </w:r>
    </w:p>
    <w:p>
      <w:pPr>
        <w:pStyle w:val="ListNumber"/>
      </w:pPr>
      <w:r>
        <w:t>Underripe berries are either blanched</w:t>
      </w:r>
    </w:p>
    <w:p>
      <w:pPr>
        <w:pStyle w:val="ListNumber"/>
      </w:pPr>
      <w:r>
        <w:t>and left to darken and dry for black pepper, or picked earlier and preserved without darkening for green pepper. Pink pepper is picked after fully ripening.</w:t>
      </w:r>
    </w:p>
    <w:p>
      <w:pPr>
        <w:pStyle w:val="ListNumber"/>
      </w:pPr>
      <w:r>
        <w:t>In traditional medicine as a digestive aid.</w:t>
      </w:r>
    </w:p>
    <w:p>
      <w:pPr>
        <w:pStyle w:val="ListNumber"/>
      </w:pPr>
      <w:r>
        <w:t>184-185_BlackPepper.indd 184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