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Bring the koji water up to a boil in a tall pot, and blend in the butter bit by bit to emulsify until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lower king crab legs (left over from the “Barbecued King Crab” main course) lower king crab legs (left over from the “Barbecued King Crab” main course)</w:t>
      </w:r>
    </w:p>
    <w:p>
      <w:pPr>
        <w:pStyle w:val="ListBullet"/>
      </w:pPr>
      <w:r>
        <w:t>Six g baby em l ettuce r ibs</w:t>
      </w:r>
    </w:p>
    <w:p>
      <w:pPr>
        <w:pStyle w:val="ListBullet"/>
      </w:pPr>
      <w:r>
        <w:t>Six g Leaves a nd Flowers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