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Amass kitchen is used, whether in its original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"Every single ingredient that comes into the</w:t>
      </w:r>
    </w:p>
    <w:p>
      <w:r>
        <w:t>Amass kitchen is used, whether in its original</w:t>
      </w:r>
    </w:p>
    <w:p>
      <w:r>
        <w:t>or upcycled form, and what little can't be</w:t>
      </w:r>
    </w:p>
    <w:p>
      <w:r>
        <w:t>used-or comp·osted-is turned into biofuel."</w:t>
      </w:r>
    </w:p>
    <w:p>
      <w:r>
        <w:t>Matt Orlando is the chef and co-owner of Amass, a highly acclaimed</w:t>
      </w:r>
    </w:p>
    <w:p>
      <w:r>
        <w:t>Copenhagen restaurant known for its extremely progressive sustainabil­</w:t>
      </w:r>
    </w:p>
    <w:p>
      <w:r>
        <w:t>ity practices. Every single ingredient that comes into the Amass kitchen,</w:t>
      </w:r>
    </w:p>
    <w:p>
      <w:r>
        <w:t>whether it's meat, fish, or vegetable, is used, whether in its original or</w:t>
      </w:r>
    </w:p>
    <w:p>
      <w:r>
        <w:t>upcycled form, and what lit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 took a job working for Francis Passot, a French-born chef who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