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MULTICOLORED GARGANELLI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MULTICOLORED GARGANELLI</w:t>
      </w:r>
    </w:p>
    <w:p>
      <w:r>
        <w:t>Some people describe garganelli as penne you can make by hand, but | feel that</w:t>
      </w:r>
    </w:p>
    <w:p>
      <w:r>
        <w:t>description does a disservice to this shape, which is so much more. For one thing, it’s</w:t>
      </w:r>
    </w:p>
    <w:p>
      <w:r>
        <w:t>just as pretty as can be, whereas a mass of penne looks like a pile of severed pens. For</w:t>
      </w:r>
    </w:p>
    <w:p>
      <w:r>
        <w:t>another, the groovy texture of garganelli and the crisp tips at the ends beckon sauce in</w:t>
      </w:r>
    </w:p>
    <w:p>
      <w:r>
        <w:t>a way penne never could, making garganelli a go-to pasta for rich, clingy sauces, such as</w:t>
      </w:r>
    </w:p>
    <w:p>
      <w:r>
        <w:t>Pork Shoulder Braised in Milk and 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so it’s nice and</w:t>
      </w:r>
    </w:p>
    <w:p>
      <w:pPr>
        <w:pStyle w:val="ListNumber"/>
      </w:pPr>
      <w:r>
        <w:t>Flour for dusting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