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REGULI FRONETICE: CE ESTE iNTELEPT SA FACI</w:t>
      </w:r>
    </w:p>
    <w:p>
      <w:r>
        <w:rPr>
          <w:b/>
          <w:color w:val="3E2723"/>
        </w:rPr>
        <w:t>Category:</w:t>
      </w:r>
      <w:r>
        <w:t xml:space="preserve"> Cooking Methods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410 DESPRE ROBUSTETE SI FRAGILITATE</w:t>
      </w:r>
    </w:p>
    <w:p>
      <w:r>
        <w:t>REGULI FRONETICE: CE ESTE iNTELEPT SA FACI</w:t>
      </w:r>
    </w:p>
    <w:p>
      <w:r>
        <w:t>(SAU SA NU FACI) iN VIATA REALA, PENTRU A IMBLANZI</w:t>
      </w:r>
    </w:p>
    <w:p>
      <w:r>
        <w:t>CADRANUL PATRU, ATUNCI CAND NU POTI APLICA</w:t>
      </w:r>
    </w:p>
    <w:p>
      <w:r>
        <w:t>STRATEGIA GANTERELOR?</w:t>
      </w:r>
    </w:p>
    <w:p>
      <w:r>
        <w:t>Cea mai evidenta modalitate de a iesi din Cadranul Patru este ,,trunchie-</w:t>
      </w:r>
    </w:p>
    <w:p>
      <w:r>
        <w:t>rea“, adica eliminarea anumitor expuneri periculoase, prin cumpararea de</w:t>
      </w:r>
    </w:p>
    <w:p>
      <w:r>
        <w:t>asigurari, atunci cand se poate, asa incat sa ajungem in pozitia ,,ganterei“</w:t>
      </w:r>
    </w:p>
    <w:p>
      <w:r>
        <w:t>din Capitolul 13. Dar daci nu ne putem asigura aceasta pozitie si nu</w:t>
      </w:r>
    </w:p>
    <w:p>
      <w:r>
        <w:t>put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Dar daci nu ne putem asigura aceasta pozitie si nu</w:t>
      </w:r>
    </w:p>
    <w:p>
      <w:pPr>
        <w:pStyle w:val="ListNumber"/>
      </w:pPr>
      <w:r>
        <w:t>Respectati timpul si cunostintele non-demonstrative.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