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Silent evidence bears the name</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CHAPTER 8</w:t>
      </w:r>
    </w:p>
    <w:p>
      <w:r>
        <w:t>Silent evidence bears the name</w:t>
      </w:r>
    </w:p>
    <w:p>
      <w:r>
        <w:t>wrong reference class</w:t>
      </w:r>
    </w:p>
    <w:p>
      <w:r>
        <w:t>in the nasty field of philosophy of probability,</w:t>
      </w:r>
    </w:p>
    <w:p>
      <w:r>
        <w:t>anthropic bias</w:t>
      </w:r>
    </w:p>
    <w:p>
      <w:r>
        <w:t>in physics, and</w:t>
      </w:r>
    </w:p>
    <w:p>
      <w:r>
        <w:t>survivorship bias</w:t>
      </w:r>
    </w:p>
    <w:p>
      <w:r>
        <w:t>in statistics (economists present the interesting attribute of having rediscovered it a few times while being severely fooled by it).</w:t>
      </w:r>
    </w:p>
    <w:p>
      <w:r>
        <w:t>Confirmation</w:t>
      </w:r>
    </w:p>
    <w:p>
      <w:r>
        <w:t>: Bacon says in</w:t>
      </w:r>
    </w:p>
    <w:p>
      <w:r>
        <w:t>On Truth</w:t>
      </w:r>
    </w:p>
    <w:p>
      <w:r>
        <w:t>, “No pleasure is comparable to the standing upon the vantage ground of truth (a hill not to be commanded and where the air is always clear and serene), and to see the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and White (1982). Michael Korda’s memoir, Korda (2000), adds some color to the business. These books are anecdotal, but we will see later that books follow steep scale-invariant structures with the implication of a severe role for randomness.</w:t>
      </w:r>
    </w:p>
    <w:p>
      <w:pPr>
        <w:pStyle w:val="ListNumber"/>
      </w:pPr>
      <w:r>
        <w:t>and Rees (2004). Sornette (2004) has Gott’s derivation of survival as a power law. In finance, Sullivan et al. (1999) discuss survivorship bias. See also Taleb (2004a). Studies that ignore the bias and state inappropriate conclusions: Stanley and Danko (1996) and the more foolish Stanley (2000).</w:t>
      </w:r>
    </w:p>
    <w:p>
      <w:pPr>
        <w:pStyle w:val="ListNumber"/>
      </w:pPr>
      <w:r>
        <w:t>Why dispersion matters</w:t>
      </w:r>
    </w:p>
    <w:p>
      <w:pPr>
        <w:pStyle w:val="ListNumber"/>
      </w:pPr>
      <w:r>
        <w:t>and Swanson (1986a, 1986b, 1987).</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