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Sous Vide Applications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122 Chapter 6  basic principles of cooking and food science</w:t>
      </w:r>
    </w:p>
    <w:p>
      <w:r>
        <w:t>because we like a browned exterior on the lamb, we could then remove it from the bag, brown</w:t>
      </w:r>
    </w:p>
    <w:p>
      <w:r>
        <w:t>it quickly in a hot sauté pan, and serve it immediately.</w:t>
      </w:r>
    </w:p>
    <w:p>
      <w:r>
        <w:t>Sous Vide Applications</w:t>
      </w:r>
    </w:p>
    <w:p>
      <w:r>
        <w:t>sous vide cooking is such a new science that chefs are only beginning to explore its possibilities.</w:t>
      </w:r>
    </w:p>
    <w:p>
      <w:r>
        <w:t>Techniques will surely evolve and change in years to come.</w:t>
      </w:r>
    </w:p>
    <w:p>
      <w:r>
        <w:t>some of the main applications of sous vide cooking as it is practiced today are detailed below.</w:t>
      </w:r>
    </w:p>
    <w:p>
      <w:r>
        <w:t>please not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are extremely accu-</w:t>
      </w:r>
    </w:p>
    <w:p>
      <w:pPr>
        <w:pStyle w:val="ListNumber"/>
      </w:pPr>
      <w:r>
        <w:t>are also used for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