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Emulsified Shortenings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912 Chapter 31  bakeshop production: basic principles and ingredients</w:t>
      </w:r>
    </w:p>
    <w:p>
      <w:r>
        <w:t>Emulsified Shortenings</w:t>
      </w:r>
    </w:p>
    <w:p>
      <w:r>
        <w:t>these are soft shortenings that spread easily throughout a batter and quickly coat the particles of</w:t>
      </w:r>
    </w:p>
    <w:p>
      <w:r>
        <w:t>sugar and flour. b ecause of their easy spreading, they give a smoother and finer texture to cakes and</w:t>
      </w:r>
    </w:p>
    <w:p>
      <w:r>
        <w:t>make them moister.</w:t>
      </w:r>
    </w:p>
    <w:p>
      <w:r>
        <w:t>Emulsified shortening is often used whenever the weight of sugar in a cake batter is greater</w:t>
      </w:r>
    </w:p>
    <w:p>
      <w:r>
        <w:t>than the weight of flour. b ecause this shortening spreads so well, a simpler mixing meth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such cakes are referred to as high-ratio cakes, so emulsified</w:t>
      </w:r>
    </w:p>
    <w:p>
      <w:pPr>
        <w:pStyle w:val="ListNumber"/>
      </w:pPr>
      <w:r>
        <w:t>Melting qualities.butter melts in the mouth. shortenings do not. a fter eating pastries or icings made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