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DON’T CROSS A RIVER IF IT IS (ON AVERAGE) FOUR FEET DEEP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DON’T CROSS A RIVER IF IT IS (ON AVERAGE) FOUR FEET DEEP</w:t>
      </w:r>
    </w:p>
    <w:p>
      <w:r>
        <w:t>Corporate and government projections have an additional easy-to-spot flaw: they do not attach a</w:t>
      </w:r>
    </w:p>
    <w:p>
      <w:r>
        <w:t>possible error rate</w:t>
      </w:r>
    </w:p>
    <w:p>
      <w:r>
        <w:t>to their scenarios. Even in the absence of Black Swans this omission would be a mistake.</w:t>
      </w:r>
    </w:p>
    <w:p>
      <w:r>
        <w:t>I once gave a talk to policy wonks at the Woodrow Wilson Center in Washington, D.C., challenging them to be aware of our weaknesses in seeing ahead.</w:t>
      </w:r>
    </w:p>
    <w:p>
      <w:r>
        <w:t>The attendees were tame and silent. What I was telling them was against everything they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 just wonder if current forecasters lack in intellectual curiosity or if they are intentionally ignoring forecast errors.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