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473INTRODUCTION</w:t>
      </w:r>
    </w:p>
    <w:p>
      <w:r>
        <w:t>FESTIVE OCCASIONS</w:t>
      </w:r>
    </w:p>
    <w:p>
      <w:r>
        <w:t>Birthdays can be celebrated with all types of desserts, but certain occasions in France traditionally call</w:t>
      </w:r>
    </w:p>
    <w:p>
      <w:r>
        <w:t>for a specific cake. For example, for many French people it would not be Epiphany without a galette des</w:t>
      </w:r>
    </w:p>
    <w:p>
      <w:r>
        <w:t>rois (kings’ cake) or Christmas without a bûche de Noël  (Yule log). To anyone who has grown up eating</w:t>
      </w:r>
    </w:p>
    <w:p>
      <w:r>
        <w:t>such cakes, the flavors are deeply familiar and steeped in memories of special times spent with family and friends. Tradition can be delicious!</w:t>
      </w:r>
    </w:p>
    <w:p>
      <w:r>
        <w:t>TRAD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but if your fondant is too hot, it will become dull and brittle. To thin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