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Food-service suppliers in the united states may follow a set of specifications called Institution</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tHe  BasiC Cuts 463</w:t>
      </w:r>
    </w:p>
    <w:p>
      <w:r>
        <w:t>meat cuts are based on two factors:</w:t>
      </w:r>
    </w:p>
    <w:p>
      <w:pPr>
        <w:pStyle w:val="ListNumber"/>
      </w:pPr>
      <w:r>
        <w:t>the muscle and bone structure of the meat.</w:t>
      </w:r>
    </w:p>
    <w:p>
      <w:pPr>
        <w:pStyle w:val="ListNumber"/>
      </w:pPr>
      <w:r>
        <w:t>uses of and appropriate cooking methods for various parts of the animal.</w:t>
      </w:r>
    </w:p>
    <w:p>
      <w:r>
        <w:t>Food-service suppliers in the united states may follow a set of specifications called Institution</w:t>
      </w:r>
    </w:p>
    <w:p>
      <w:r>
        <w:t>Meat Purchase Specifications  (imPs). (imPs, including numbers and names of cuts, are the same as</w:t>
      </w:r>
    </w:p>
    <w:p>
      <w:r>
        <w:t>the north a merican m eat Processors a ssociation, or namP , specifications.) a ll cuts are described</w:t>
      </w:r>
    </w:p>
    <w:p>
      <w:r>
        <w:t>in detail and listed</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the muscle and bone structure of the meat.</w:t>
      </w:r>
    </w:p>
    <w:p>
      <w:pPr>
        <w:pStyle w:val="ListNumber"/>
      </w:pPr>
      <w:r>
        <w:t>uses of and appropriate cooking methods for various parts of the animal.</w:t>
      </w:r>
    </w:p>
    <w:p>
      <w:pPr>
        <w:pStyle w:val="ListNumber"/>
      </w:pPr>
      <w:r>
        <w:t>Beef is split first through the backbone into sides. sides are divided between the 12th and 13th ribs into forequarter and hindquarter.</w:t>
      </w:r>
    </w:p>
    <w:p>
      <w:pPr>
        <w:pStyle w:val="ListNumber"/>
      </w:pPr>
      <w:r>
        <w:t>Veal and lamb are not split into sides but are divided in half into foresaddle and hindsaddle. For veal, the cut is made between the 11th and 12th ribs. Lamb, on the other hand, is split either between the 12th and 13th rib or after the 13th rib, depending on the cutting style. For more</w:t>
      </w:r>
    </w:p>
    <w:p>
      <w:pPr>
        <w:pStyle w:val="ListNumber"/>
      </w:pPr>
      <w:r>
        <w:t>3. Pork carcasses are not divided in this way. they are cut directly into primal cuts (see below).</w:t>
      </w:r>
    </w:p>
    <w:p>
      <w:pPr>
        <w:pStyle w:val="ListNumber"/>
      </w:pPr>
      <w:r>
        <w:t>are small enough to be manageable in many food-service kitchens</w:t>
      </w:r>
    </w:p>
    <w:p>
      <w:pPr>
        <w:pStyle w:val="ListNumber"/>
      </w:pPr>
      <w:r>
        <w:t>are still large enough to allow a variety of cuts for different uses or needs</w:t>
      </w:r>
    </w:p>
    <w:p>
      <w:pPr>
        <w:pStyle w:val="ListNumber"/>
      </w:pPr>
      <w:r>
        <w:t>are easier to utilize completely than quarters or halves</w:t>
      </w:r>
    </w:p>
    <w:p>
      <w:pPr>
        <w:pStyle w:val="ListNumber"/>
      </w:pPr>
      <w:r>
        <w:t>(Please note Figure 16.5</w:t>
      </w:r>
    </w:p>
    <w:p>
      <w:pPr>
        <w:pStyle w:val="ListNumber"/>
      </w:pPr>
      <w:r>
        <w:t>For example, a whole beef rib, roast-ready, has the number 109; a beef rib steak, bone in,</w:t>
      </w:r>
    </w:p>
    <w:p>
      <w:pPr>
        <w:pStyle w:val="ListNumber"/>
      </w:pPr>
      <w:r>
        <w:t>Note that variety meats and processed</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