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COOKING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606 Chapter 20  understanding fish  and shellfish</w:t>
      </w:r>
    </w:p>
    <w:p>
      <w:r>
        <w:t>HANDLING AND COOKING</w:t>
      </w:r>
    </w:p>
    <w:p>
      <w:r>
        <w:t>the edible flesh of fish, like that of meat and poultry, consists of water, proteins, fats, and small</w:t>
      </w:r>
    </w:p>
    <w:p>
      <w:r>
        <w:t>amounts of minerals, vitamins, and other substances. the differences, however, are perhaps more</w:t>
      </w:r>
    </w:p>
    <w:p>
      <w:r>
        <w:t>important than the similarities.</w:t>
      </w:r>
    </w:p>
    <w:p>
      <w:r>
        <w:t>fish has very little connective tissue. this is one of the most important differences between fish</w:t>
      </w:r>
    </w:p>
    <w:p>
      <w:r>
        <w:t>and meat. i t means that</w:t>
      </w:r>
    </w:p>
    <w:p>
      <w:pPr>
        <w:pStyle w:val="ListNumber"/>
      </w:pPr>
      <w:r>
        <w:t>Fish cooks very quickly, even at low heat (just enough heat to coagu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Fish cooks very quickly, even at low heat (just enough heat to coagulate the proteins).</w:t>
      </w:r>
    </w:p>
    <w:p>
      <w:pPr>
        <w:pStyle w:val="ListNumber"/>
      </w:pPr>
      <w:r>
        <w:t>Fish is naturally tender. toughness is the result not of connective tissue but of the toughening</w:t>
      </w:r>
    </w:p>
    <w:p>
      <w:pPr>
        <w:pStyle w:val="ListNumber"/>
      </w:pPr>
      <w:r>
        <w:t>Moist-heat cooking methods are used not to create tenderness but to preserve moistness and provide variety.</w:t>
      </w:r>
    </w:p>
    <w:p>
      <w:pPr>
        <w:pStyle w:val="ListNumber"/>
      </w:pPr>
      <w:r>
        <w:t>Cooked fish must be handled very carefully or it will fall apart.</w:t>
      </w:r>
    </w:p>
    <w:p>
      <w:pPr>
        <w:pStyle w:val="ListNumber"/>
      </w:pPr>
      <w:r>
        <w:t>the fish just separates into flakes—that is, it is beginning to flake but does not yet fall</w:t>
      </w:r>
    </w:p>
    <w:p>
      <w:pPr>
        <w:pStyle w:val="ListNumber"/>
      </w:pPr>
      <w:r>
        <w:t>if bone is present, the flesh separates from the bone, and there is no longer any trace of pink next to the bones.</w:t>
      </w:r>
    </w:p>
    <w:p>
      <w:pPr>
        <w:pStyle w:val="ListNumber"/>
      </w:pPr>
      <w:r>
        <w:t>the flesh has turned from translucent to opaque (usually white, depending on the kind of fish).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