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Many of the recipes in this book include instructions for plating, but often they don’t. i n both cases,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892 Chapter 30  food presentation</w:t>
      </w:r>
    </w:p>
    <w:p>
      <w:r>
        <w:t>the same ideas and techniques can be applied to nearly any dish, even a simple bowl of soup.</w:t>
      </w:r>
    </w:p>
    <w:p>
      <w:r>
        <w:t>Many of the recipes in this book include instructions for plating, but often they don’t. i n both cases,</w:t>
      </w:r>
    </w:p>
    <w:p>
      <w:r>
        <w:t>the cook is free to use creativity to make attractive plate presentations, keeping in mind the general</w:t>
      </w:r>
    </w:p>
    <w:p>
      <w:r>
        <w:t>guidelines in the first part of this chapter. following the pattern that we used with the r oasted Beet</w:t>
      </w:r>
    </w:p>
    <w:p>
      <w:r>
        <w:t>salad, we have selected additional recipes from this text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Plate 1: prepare the recipe as directed. instead of the swirl of cream, finish the soup with a swirl</w:t>
      </w:r>
    </w:p>
    <w:p>
      <w:pPr>
        <w:pStyle w:val="ListNumber"/>
      </w:pPr>
      <w:r>
        <w:t>and a few frisée leaves. d ot the soup with sage 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