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Matthew effects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CHAPTERS 14–17</w:t>
      </w:r>
    </w:p>
    <w:p>
      <w:r>
        <w:t>This section will also serve another purpose. Whenever I talk about the Black Swan, people tend to supply me with anecdotes. But these anecdotes are just corroborative: you need to show that</w:t>
      </w:r>
    </w:p>
    <w:p>
      <w:r>
        <w:t>in the aggregate</w:t>
      </w:r>
    </w:p>
    <w:p>
      <w:r>
        <w:t>the world is dominated by Black Swan events. To me, the rejection of nonscalable randomness is sufficient to establish the role and significance of Black Swans.</w:t>
      </w:r>
    </w:p>
    <w:p>
      <w:r>
        <w:t>Matthew effects</w:t>
      </w:r>
    </w:p>
    <w:p>
      <w:r>
        <w:t>: See Merton (1968, 1973a, 1988). Martial, in his</w:t>
      </w:r>
    </w:p>
    <w:p>
      <w:r>
        <w:t>Epigrams: “Semper pauper eris, si pauper es, Aemil</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and Watts (2002). For information cascades in economics, see Bikhchandani, Hirshleifer, and Welch (1992) and Shiller (1995). See also Surowiecki (2004).</w:t>
      </w:r>
    </w:p>
    <w:p>
      <w:pPr>
        <w:pStyle w:val="ListNumber"/>
      </w:pPr>
      <w:r>
        <w:t>propose a market-based solution to the problem of allocation through the process of voluntary self-insurance and derivative products. Shiller (2003) proposes cross-country insurance.</w:t>
      </w:r>
    </w:p>
    <w:p>
      <w:pPr>
        <w:pStyle w:val="ListNumber"/>
      </w:pPr>
      <w:r>
        <w:t>and Glänzel (2003).</w:t>
      </w:r>
    </w:p>
    <w:p>
      <w:pPr>
        <w:pStyle w:val="ListNumber"/>
      </w:pPr>
      <w:r>
        <w:t>for infections. For extensions, see Bhalla and Iyengar (1999). Resilence, Cohen et al. (2000), Barabási and Bonabeau (2003), Barabási (2002), and Banavar et al. (2000). Power laws and the Web, Adamic and Huberman (1999) and Adamic (1999). Statistics of the Internet: Huberman (2001), Willinger et al. (2004), and Faloutsos, Faloutsos, and Faloutsos (1999). For DNA, see Vogelstein et al. (2000).</w:t>
      </w:r>
    </w:p>
    <w:p>
      <w:pPr>
        <w:pStyle w:val="ListNumber"/>
      </w:pPr>
      <w:r>
        <w:t>aptly called</w:t>
      </w:r>
    </w:p>
    <w:p>
      <w:pPr>
        <w:pStyle w:val="ListNumber"/>
      </w:pPr>
      <w:r>
        <w:t>The relative changes in your wealth are Gaussian. So the lognormal superficially resembles the fractal, in the sense that it may tolerate some large deviations, but it is dangerous because these rapidly taper off at the end. The introduction of the lognormal was a very bad compromise, but a way to conceal the flaws of the Gaussian.</w:t>
      </w:r>
    </w:p>
    <w:p>
      <w:pPr>
        <w:pStyle w:val="ListNumber"/>
      </w:pPr>
      <w:r>
        <w:t>and Courtillot and Gaudemer (1996). Jumps: Eldredge and Gould.</w:t>
      </w:r>
    </w:p>
    <w:p>
      <w:pPr>
        <w:pStyle w:val="ListNumber"/>
      </w:pPr>
      <w:r>
        <w:t>is imperative. John Chipman’s unpublished manuscript</w:t>
      </w:r>
    </w:p>
    <w:p>
      <w:pPr>
        <w:pStyle w:val="ListNumber"/>
      </w:pPr>
      <w:r>
        <w:t>General reference books in statistical physics</w:t>
      </w:r>
    </w:p>
    <w:p>
      <w:pPr>
        <w:pStyle w:val="ListNumber"/>
      </w:pPr>
      <w:r>
        <w:t>or the far deeper Bouchaud and Potters (2002) for financial prices and econophysics. For “complexity” theory, technical books: Bocarra (2004), Strogatz (1994), the popular Ruelle (1991), and also Prigogine (1996).</w:t>
      </w:r>
    </w:p>
    <w:p>
      <w:pPr>
        <w:pStyle w:val="ListNumber"/>
      </w:pPr>
      <w:r>
        <w:t>is quite ignorant of the point.</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