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PHRONETIC RULES: WHAT IS WISE TO DO (OR NOT DO) IN REAL LIFE TO MITIGATE THE FOURTH QUADRANT IF YOU CAN’T BARBELL?</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PHRONETIC RULES: WHAT IS WISE TO DO (OR NOT DO) IN REAL LIFE TO MITIGATE THE FOURTH QUADRANT IF YOU CAN’T BARBELL?</w:t>
      </w:r>
    </w:p>
    <w:p>
      <w:r>
        <w:t>The most obvious way to exit the Fourth Quadrant is by “truncating,” cutting certain exposures by purchasing insurance, when available, putting oneself in the “barbell” situation described in</w:t>
      </w:r>
    </w:p>
    <w:p>
      <w:r>
        <w:t>Chapter 13</w:t>
      </w:r>
    </w:p>
    <w:p>
      <w:r>
        <w:t>. But if you are not able to barbell, and cannot avoid the exposure, as with, say, climate notions, exposure to epidemics, and similar items from the previous table, then we can subs</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Have respect for time and nondemonstrative knowledge</w:t>
      </w:r>
    </w:p>
    <w:p>
      <w:pPr>
        <w:pStyle w:val="ListNumber"/>
      </w:pPr>
      <w:r>
        <w:t>Avoid optimization; learn to love redundancy</w:t>
      </w:r>
    </w:p>
    <w:p>
      <w:pPr>
        <w:pStyle w:val="ListNumber"/>
      </w:pPr>
      <w:r>
        <w:t>Avoid prediction of small-probability payoffs—though not necessarily of ordinary ones</w:t>
      </w:r>
    </w:p>
    <w:p>
      <w:pPr>
        <w:pStyle w:val="ListNumber"/>
      </w:pPr>
      <w:r>
        <w:t>Beware the “atypicality” of remote events</w:t>
      </w:r>
    </w:p>
    <w:p>
      <w:pPr>
        <w:pStyle w:val="ListNumber"/>
      </w:pPr>
      <w:r>
        <w:t>Beware moral hazard with bonus payments</w:t>
      </w:r>
    </w:p>
    <w:p>
      <w:pPr>
        <w:pStyle w:val="ListNumber"/>
      </w:pPr>
      <w:r>
        <w:t>Avoid some risk metrics</w:t>
      </w:r>
    </w:p>
    <w:p>
      <w:pPr>
        <w:pStyle w:val="ListNumber"/>
      </w:pPr>
      <w:r>
        <w:t>Positive or negative Black Swan?</w:t>
      </w:r>
    </w:p>
    <w:p>
      <w:pPr>
        <w:pStyle w:val="ListNumber"/>
      </w:pPr>
      <w:r>
        <w:t>Do not confuse absence of volatility with absence of risk</w:t>
      </w:r>
    </w:p>
    <w:p>
      <w:pPr>
        <w:pStyle w:val="ListNumber"/>
      </w:pPr>
      <w:r>
        <w:t>Beware presentations of risk numbers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