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Raspunsul este ,,nu“. Este predominanta aceeasi iluzie optica: cei care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ANTIBIBLIOTECA LUI UMBERTO ECO</w:t>
      </w:r>
    </w:p>
    <w:p>
      <w:r>
        <w:t>speculatorii de la bursa). Asta inseamna ca trebuie sa devenim tot jucatori</w:t>
      </w:r>
    </w:p>
    <w:p>
      <w:r>
        <w:t>pentru o vreme, sa profitam de amabilitatea norocului fata de incepatori $1</w:t>
      </w:r>
    </w:p>
    <w:p>
      <w:r>
        <w:t>apoi sa ne oprim?</w:t>
      </w:r>
    </w:p>
    <w:p>
      <w:r>
        <w:t>Raspunsul este ,,nu“. Este predominanta aceeasi iluzie optica: cei care</w:t>
      </w:r>
    </w:p>
    <w:p>
      <w:r>
        <w:t>incep s4 joace vor fi sau norocosi sau nenorocosi (si, pentru ca intot-</w:t>
      </w:r>
    </w:p>
    <w:p>
      <w:r>
        <w:t>deauna cazinoul este in avantaj, numarul nenorocosilor va fi mai mare).</w:t>
      </w:r>
    </w:p>
    <w:p>
      <w:r>
        <w:t>Cei norocosi, care au sentimentul ca au fost alesii sortii, vor continu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ANTIBIBLIOTECA LUI UMBERTO ECO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