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Rene Redzepi was a boy, there was absolutely no indication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When Rene Redzepi was a boy, there was absolutely no indication</w:t>
      </w:r>
    </w:p>
    <w:p>
      <w:r>
        <w:t>that he would one day be considered as one of the most visionary chefs</w:t>
      </w:r>
    </w:p>
    <w:p>
      <w:r>
        <w:t>in the world of international gastronomy. If anyone was destined</w:t>
      </w:r>
    </w:p>
    <w:p>
      <w:r>
        <w:t>to go far it was more likely to be his twin brother, Kenneth. While</w:t>
      </w:r>
    </w:p>
    <w:p>
      <w:r>
        <w:t>Kenneth was diligent and studious, Rene hated sitting still in lessons.</w:t>
      </w:r>
    </w:p>
    <w:p>
      <w:r>
        <w:t>Although his bilingual upbringing -his father was from Macedonia,</w:t>
      </w:r>
    </w:p>
    <w:p>
      <w:r>
        <w:t>his mother from Copenhagen -equipped him with an aptitude</w:t>
      </w:r>
    </w:p>
    <w:p>
      <w:r>
        <w:t>for English and French, Rene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Two months later he went back to Iceland,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