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Purchase Agreement – Harbor platform</w:t>
      </w:r>
    </w:p>
    <w:p>
      <w:r>
        <w:t>Parties: Brightwave Software BV (seller) and Northwind Systems Ltd (buyer). Signed 14 March 2026.</w:t>
      </w:r>
    </w:p>
    <w:p>
      <w:pPr>
        <w:pStyle w:val="Heading1"/>
      </w:pPr>
      <w:r>
        <w:t>1. Purchase price</w:t>
      </w:r>
    </w:p>
    <w:p>
      <w:r>
        <w:t>The total purchase price is EUR 600,000, consisting of EUR 400,000 for the Harbor software and related intellectual property, and EUR 200,000 for the system management activities.</w:t>
      </w:r>
    </w:p>
    <w:p>
      <w:r>
        <w:t>The earlier draft price of EUR 650,000 for the software alone (draft of 2 February 2026) is superseded and no longer applies.</w:t>
      </w:r>
    </w:p>
    <w:p>
      <w:pPr>
        <w:pStyle w:val="Heading1"/>
      </w:pPr>
      <w:r>
        <w:t>2. Payment</w:t>
      </w:r>
    </w:p>
    <w:p>
      <w:r>
        <w:t>The purchase price is payable in one instalment on 1 July 2026. Title to the software and the intellectual property passes on payment.</w:t>
      </w:r>
    </w:p>
    <w:p>
      <w:pPr>
        <w:pStyle w:val="Heading1"/>
      </w:pPr>
      <w:r>
        <w:t>3. System management</w:t>
      </w:r>
    </w:p>
    <w:p>
      <w:r>
        <w:t>Brightwave keeps operating the system management until 31 December 2026 under a separate service agreement at EUR 4,500 per month; staff transfer to Northwind on 1 January 2027.</w:t>
      </w:r>
    </w:p>
    <w:p>
      <w:pPr>
        <w:pStyle w:val="Heading1"/>
      </w:pPr>
      <w:r>
        <w:t>4. Warranties</w:t>
      </w:r>
    </w:p>
    <w:p>
      <w:r>
        <w:t>Brightwave warrants that it is the sole owner of the Harbor source code. Open-source components are listed in Annex B. Warranty claims expire 18 months after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