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pPr>
      <w:r>
        <w:rPr/>
        <w:t xml:space="preserve">Senzori de câmp magnetic </w:t>
      </w:r>
    </w:p>
    <w:p>
      <w:pPr>
        <w:pStyle w:val="Heading"/>
        <w:rPr/>
      </w:pPr>
      <w:r>
        <w:rPr/>
      </w:r>
    </w:p>
    <w:p>
      <w:pPr>
        <w:pStyle w:val="Heading"/>
        <w:rPr>
          <w:sz w:val="24"/>
          <w:u w:val="single"/>
        </w:rPr>
      </w:pPr>
      <w:r>
        <w:rPr>
          <w:sz w:val="24"/>
          <w:u w:val="single"/>
        </w:rPr>
      </w:r>
    </w:p>
    <w:p>
      <w:pPr>
        <w:pStyle w:val="Normal"/>
        <w:jc w:val="both"/>
        <w:rPr/>
      </w:pPr>
      <w:r>
        <w:rPr/>
        <w:tab/>
      </w:r>
      <w:r>
        <w:rPr>
          <w:b/>
        </w:rPr>
        <w:t>1.</w:t>
      </w:r>
      <w:r>
        <w:rPr>
          <w:b/>
          <w:u w:val="single"/>
        </w:rPr>
        <w:t xml:space="preserve"> PRINCIPIUL LUCRĂRII</w:t>
      </w:r>
    </w:p>
    <w:p>
      <w:pPr>
        <w:pStyle w:val="Normal"/>
        <w:jc w:val="both"/>
        <w:rPr/>
      </w:pPr>
      <w:r>
        <w:rPr/>
        <w:t>În această lucrare se studiază senzori de câmp magnetic a căror funcționare se bazează pe efectul Hall</w:t>
      </w:r>
      <w:r>
        <mc:AlternateContent>
          <mc:Choice Requires="wpg">
            <w:drawing>
              <wp:anchor behindDoc="0" distT="0" distB="0" distL="114935" distR="114935" simplePos="0" locked="0" layoutInCell="0" allowOverlap="1" relativeHeight="19">
                <wp:simplePos x="0" y="0"/>
                <wp:positionH relativeFrom="column">
                  <wp:posOffset>0</wp:posOffset>
                </wp:positionH>
                <wp:positionV relativeFrom="paragraph">
                  <wp:posOffset>1244600</wp:posOffset>
                </wp:positionV>
                <wp:extent cx="3904615" cy="2009775"/>
                <wp:effectExtent l="0" t="0" r="0" b="0"/>
                <wp:wrapSquare wrapText="right"/>
                <wp:docPr id="1" name="Shape1"/>
                <a:graphic xmlns:a="http://schemas.openxmlformats.org/drawingml/2006/main">
                  <a:graphicData uri="http://schemas.microsoft.com/office/word/2010/wordprocessingGroup">
                    <wpg:wgp>
                      <wpg:cNvGrpSpPr/>
                      <wpg:grpSpPr>
                        <a:xfrm>
                          <a:off x="0" y="0"/>
                          <a:ext cx="3904560" cy="2009880"/>
                          <a:chOff x="0" y="0"/>
                          <a:chExt cx="3904560" cy="2009880"/>
                        </a:xfrm>
                      </wpg:grpSpPr>
                      <pic:pic xmlns:pic="http://schemas.openxmlformats.org/drawingml/2006/picture">
                        <pic:nvPicPr>
                          <pic:cNvPr id="0" name="" descr=""/>
                          <pic:cNvPicPr/>
                        </pic:nvPicPr>
                        <pic:blipFill>
                          <a:blip r:embed="rId2"/>
                          <a:stretch/>
                        </pic:blipFill>
                        <pic:spPr>
                          <a:xfrm>
                            <a:off x="0" y="0"/>
                            <a:ext cx="3904560" cy="2009880"/>
                          </a:xfrm>
                          <a:prstGeom prst="rect">
                            <a:avLst/>
                          </a:prstGeom>
                          <a:ln w="0">
                            <a:noFill/>
                          </a:ln>
                        </pic:spPr>
                      </pic:pic>
                      <wps:wsp>
                        <wps:cNvSpPr txBox="1"/>
                        <wps:spPr>
                          <a:xfrm>
                            <a:off x="1478160" y="1610280"/>
                            <a:ext cx="731520" cy="274320"/>
                          </a:xfrm>
                          <a:prstGeom prst="rect">
                            <a:avLst/>
                          </a:prstGeom>
                          <a:noFill/>
                          <a:ln w="0">
                            <a:noFill/>
                          </a:ln>
                        </wps:spPr>
                        <wps:txbx>
                          <w:txbxContent>
                            <w:p>
                              <w:pPr>
                                <w:bidi w:val="0"/>
                                <w:rPr/>
                              </w:pPr>
                              <w:r>
                                <w:rPr>
                                  <w:kern w:val="2"/>
                                  <w:sz w:val="24"/>
                                  <w:b/>
                                  <w:szCs w:val="20"/>
                                  <w:rFonts w:ascii="Times New Roman" w:hAnsi="Times New Roman" w:eastAsia="Times New Roman" w:cs="Times New Roman"/>
                                  <w:color w:val="auto"/>
                                  <w:lang w:val="ro-RO" w:bidi="ar-SA"/>
                                </w:rPr>
                                <w:t>Fig.1</w:t>
                              </w:r>
                            </w:p>
                          </w:txbxContent>
                        </wps:txbx>
                        <wps:bodyPr wrap="square" anchor="t">
                          <a:noAutofit/>
                        </wps:bodyPr>
                      </wps:wsp>
                    </wpg:wgp>
                  </a:graphicData>
                </a:graphic>
              </wp:anchor>
            </w:drawing>
          </mc:Choice>
          <mc:Fallback>
            <w:pict>
              <v:group id="shape_0" alt="Shape1" style="position:absolute;margin-left:0pt;margin-top:98pt;width:307.45pt;height:158.25pt" coordorigin="0,1960" coordsize="6149,3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1960;width:6148;height:3164;mso-wrap-style:none;v-text-anchor:middle" type="_x0000_t75">
                  <v:imagedata r:id="rId2" o:detectmouseclick="t"/>
                  <v:stroke color="#3465a4" joinstyle="round" endcap="flat"/>
                  <w10:wrap type="square" side="right"/>
                </v:shape>
                <v:shapetype id="_x0000_t202" coordsize="21600,21600" o:spt="202" path="m,l,21600l21600,21600l21600,xe">
                  <v:stroke joinstyle="miter"/>
                  <v:path gradientshapeok="t" o:connecttype="rect"/>
                </v:shapetype>
                <v:shape id="shape_0" stroked="f" o:allowincell="f" style="position:absolute;left:2328;top:4496;width:1151;height:431;mso-wrap-style:square;v-text-anchor:top" type="_x0000_t202">
                  <v:textbox>
                    <w:txbxContent>
                      <w:p>
                        <w:pPr>
                          <w:bidi w:val="0"/>
                          <w:rPr/>
                        </w:pPr>
                        <w:r>
                          <w:rPr>
                            <w:kern w:val="2"/>
                            <w:sz w:val="24"/>
                            <w:b/>
                            <w:szCs w:val="20"/>
                            <w:rFonts w:ascii="Times New Roman" w:hAnsi="Times New Roman" w:eastAsia="Times New Roman" w:cs="Times New Roman"/>
                            <w:color w:val="auto"/>
                            <w:lang w:val="ro-RO" w:bidi="ar-SA"/>
                          </w:rPr>
                          <w:t>Fig.1</w:t>
                        </w:r>
                      </w:p>
                    </w:txbxContent>
                  </v:textbox>
                  <v:fill o:detectmouseclick="t" on="false"/>
                  <v:stroke color="#3465a4" joinstyle="round" endcap="flat"/>
                  <w10:wrap type="square" side="right"/>
                </v:shape>
              </v:group>
            </w:pict>
          </mc:Fallback>
        </mc:AlternateContent>
      </w:r>
      <w:r>
        <w:rPr/>
        <w:t>.</w:t>
      </w:r>
    </w:p>
    <w:p>
      <w:pPr>
        <w:pStyle w:val="Normal"/>
        <w:jc w:val="both"/>
        <w:rPr/>
      </w:pPr>
      <w:r>
        <w:rPr/>
        <w:t>Efectul Hall este un efect galvanomagnetic şi constă în apariţia unei tensiuni U</w:t>
      </w:r>
      <w:r>
        <w:rPr>
          <w:vertAlign w:val="subscript"/>
        </w:rPr>
        <w:t>H</w:t>
      </w:r>
      <w:r>
        <w:rPr>
          <w:position w:val="-6"/>
        </w:rPr>
        <w:t xml:space="preserve"> </w:t>
      </w:r>
      <w:r>
        <w:rPr/>
        <w:t>într-o probă dintr-un material conductor sau semiconductor străbătută de un curent electric de intensitate I, atunci când se aplică un câmp magnetic de inducţie B, conform Fig.1. Dacă curentul electric este generat de purtători  de sarcină q pozitivă, care se deplasează  cu viteza v, sub acţunea fortei Lorentz (F</w:t>
      </w:r>
      <w:r>
        <w:rPr>
          <w:vertAlign w:val="subscript"/>
        </w:rPr>
        <w:t>L</w:t>
      </w:r>
      <w:r>
        <w:rPr/>
        <w:t>) aceste sarcini sunt deviate spre una din fetele laterale ale probei  şi determină apariţia unui câmp electric E</w:t>
      </w:r>
      <w:r>
        <w:rPr>
          <w:vertAlign w:val="subscript"/>
        </w:rPr>
        <w:t>H</w:t>
      </w:r>
      <w:r>
        <w:rPr/>
        <w:t xml:space="preserve"> perpendicular pe direcţia intensităţii curentului electric. Forța electrostatică care apare, se opune deplasării laterale a electronilor:</w:t>
      </w:r>
    </w:p>
    <w:p>
      <w:pPr>
        <w:pStyle w:val="Normal"/>
        <w:jc w:val="both"/>
        <w:rPr/>
      </w:pPr>
      <w:r>
        <w:rPr/>
      </w:r>
    </w:p>
    <w:p>
      <w:pPr>
        <w:pStyle w:val="Normal"/>
        <w:jc w:val="both"/>
        <w:rPr/>
      </w:pPr>
      <w:r>
        <w:rPr/>
      </w: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H</m:t>
              </m:r>
            </m:sub>
          </m:sSub>
          <m:r>
            <w:rPr>
              <w:rFonts w:ascii="Cambria Math" w:hAnsi="Cambria Math"/>
            </w:rPr>
            <m:t xml:space="preserve">=</m:t>
          </m:r>
          <m:sSub>
            <m:e>
              <m:r>
                <m:rPr>
                  <m:lit/>
                  <m:nor/>
                </m:rPr>
                <w:rPr>
                  <w:rFonts w:ascii="Cambria Math" w:hAnsi="Cambria Math"/>
                </w:rPr>
                <m:t xml:space="preserve">qE</m:t>
              </m:r>
            </m:e>
            <m:sub>
              <m:r>
                <w:rPr>
                  <w:rFonts w:ascii="Cambria Math" w:hAnsi="Cambria Math"/>
                </w:rPr>
                <m:t xml:space="preserve">H</m:t>
              </m:r>
            </m:sub>
          </m:sSub>
          <m:r>
            <w:rPr>
              <w:rFonts w:ascii="Cambria Math" w:hAnsi="Cambria Math"/>
            </w:rPr>
            <m:t xml:space="preserve">=</m:t>
          </m:r>
          <m:r>
            <w:rPr>
              <w:rFonts w:ascii="Cambria Math" w:hAnsi="Cambria Math"/>
            </w:rPr>
            <m:t xml:space="preserve">q</m:t>
          </m:r>
          <m:f>
            <m:num>
              <m:sSub>
                <m:e>
                  <m:r>
                    <w:rPr>
                      <w:rFonts w:ascii="Cambria Math" w:hAnsi="Cambria Math"/>
                    </w:rPr>
                    <m:t xml:space="preserve">U</m:t>
                  </m:r>
                </m:e>
                <m:sub>
                  <m:r>
                    <w:rPr>
                      <w:rFonts w:ascii="Cambria Math" w:hAnsi="Cambria Math"/>
                    </w:rPr>
                    <m:t xml:space="preserve">H</m:t>
                  </m:r>
                </m:sub>
              </m:sSub>
            </m:num>
            <m:den>
              <m:r>
                <w:rPr>
                  <w:rFonts w:ascii="Cambria Math" w:hAnsi="Cambria Math"/>
                </w:rPr>
                <m:t xml:space="preserve">l</m:t>
              </m:r>
            </m:den>
          </m:f>
        </m:oMath>
      </m:oMathPara>
    </w:p>
    <w:p>
      <w:pPr>
        <w:pStyle w:val="Normal"/>
        <w:jc w:val="both"/>
        <w:rPr/>
      </w:pPr>
      <w:r>
        <w:rPr/>
        <w:t>Iar la echilibru avem</w:t>
      </w:r>
    </w:p>
    <w:p>
      <w:pPr>
        <w:pStyle w:val="Normal"/>
        <w:jc w:val="both"/>
        <w:rPr/>
      </w:pPr>
      <w:r>
        <w:rPr/>
      </w:r>
      <m:oMath xmlns:m="http://schemas.openxmlformats.org/officeDocument/2006/math">
        <m:sSub>
          <m:e>
            <m:r>
              <w:rPr>
                <w:rFonts w:ascii="Cambria Math" w:hAnsi="Cambria Math"/>
              </w:rPr>
              <m:t xml:space="preserve">F</m:t>
            </m:r>
          </m:e>
          <m:sub>
            <m:r>
              <w:rPr>
                <w:rFonts w:ascii="Cambria Math" w:hAnsi="Cambria Math"/>
              </w:rPr>
              <m:t xml:space="preserve">L</m:t>
            </m:r>
          </m:sub>
        </m:sSub>
        <m:r>
          <w:rPr>
            <w:rFonts w:ascii="Cambria Math" w:hAnsi="Cambria Math"/>
          </w:rPr>
          <m:t xml:space="preserve">=</m:t>
        </m:r>
        <m:r>
          <m:rPr>
            <m:lit/>
            <m:nor/>
          </m:rPr>
          <w:rPr>
            <w:rFonts w:ascii="Cambria Math" w:hAnsi="Cambria Math"/>
          </w:rPr>
          <m:t xml:space="preserve">qvB</m:t>
        </m:r>
        <m:r>
          <w:rPr>
            <w:rFonts w:ascii="Cambria Math" w:hAnsi="Cambria Math"/>
          </w:rPr>
          <m:t xml:space="preserve">=</m:t>
        </m:r>
        <m:r>
          <w:rPr>
            <w:rFonts w:ascii="Cambria Math" w:hAnsi="Cambria Math"/>
          </w:rPr>
          <m:t xml:space="preserve">q</m:t>
        </m:r>
        <m:f>
          <m:num>
            <m:sSub>
              <m:e>
                <m:r>
                  <w:rPr>
                    <w:rFonts w:ascii="Cambria Math" w:hAnsi="Cambria Math"/>
                  </w:rPr>
                  <m:t xml:space="preserve">U</m:t>
                </m:r>
              </m:e>
              <m:sub>
                <m:r>
                  <w:rPr>
                    <w:rFonts w:ascii="Cambria Math" w:hAnsi="Cambria Math"/>
                  </w:rPr>
                  <m:t xml:space="preserve">H</m:t>
                </m:r>
              </m:sub>
            </m:sSub>
          </m:num>
          <m:den>
            <m:r>
              <w:rPr>
                <w:rFonts w:ascii="Cambria Math" w:hAnsi="Cambria Math"/>
              </w:rPr>
              <m:t xml:space="preserve">l</m:t>
            </m:r>
          </m:den>
        </m:f>
      </m:oMath>
      <w:r>
        <w:rPr/>
        <w:tab/>
        <w:tab/>
        <w:t>(1)</w:t>
      </w:r>
    </w:p>
    <w:p>
      <w:pPr>
        <w:pStyle w:val="Normal"/>
        <w:jc w:val="both"/>
        <w:rPr/>
      </w:pPr>
      <w:r>
        <w:rPr/>
        <w:t>unde U</w:t>
      </w:r>
      <w:r>
        <w:rPr>
          <w:vertAlign w:val="subscript"/>
        </w:rPr>
        <w:t>H</w:t>
      </w:r>
      <w:r>
        <w:rPr/>
        <w:t xml:space="preserve"> este tensiunea Hall. </w:t>
      </w:r>
    </w:p>
    <w:p>
      <w:pPr>
        <w:pStyle w:val="Normal"/>
        <w:jc w:val="both"/>
        <w:rPr/>
      </w:pPr>
      <w:r>
        <w:rPr/>
        <w:t xml:space="preserve">Înlocuind pe </w:t>
      </w:r>
      <w:r>
        <w:rPr>
          <w:i/>
        </w:rPr>
        <w:t>v</w:t>
      </w:r>
      <w:r>
        <w:rPr/>
        <w:t xml:space="preserve"> din : </w:t>
      </w:r>
      <w:r>
        <w:rPr>
          <w:i/>
        </w:rPr>
        <w:t>I = n q v l d</w:t>
      </w:r>
      <w:r>
        <w:rPr/>
        <w:t>, unde n este concentraţia purtătorilor de sarcină, din rel. (1) se obţine:</w:t>
      </w:r>
    </w:p>
    <w:p>
      <w:pPr>
        <w:pStyle w:val="Normal"/>
        <w:ind w:left="2160" w:right="0" w:firstLine="720"/>
        <w:rPr/>
      </w:pPr>
      <w:r>
        <w:fldChar w:fldCharType="begin"/>
      </w:r>
      <w:r>
        <w:rPr/>
        <w:instrText xml:space="preserve"> QUOTE  </w:instrText>
      </w:r>
      <w:r>
        <w:rPr/>
      </w:r>
      <w:r>
        <w:rPr/>
        <w:fldChar w:fldCharType="separate"/>
      </w:r>
      <w:r>
        <w:rPr/>
      </w:r>
      <w:r>
        <w:rPr>
          <w:position w:val="-12"/>
        </w:rPr>
        <w:drawing>
          <wp:inline distT="0" distB="0" distL="0" distR="0">
            <wp:extent cx="736600" cy="26035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rcRect l="-49" t="-139" r="-49" b="-139"/>
                    <a:stretch>
                      <a:fillRect/>
                    </a:stretch>
                  </pic:blipFill>
                  <pic:spPr bwMode="auto">
                    <a:xfrm>
                      <a:off x="0" y="0"/>
                      <a:ext cx="736600" cy="260350"/>
                    </a:xfrm>
                    <a:prstGeom prst="rect">
                      <a:avLst/>
                    </a:prstGeom>
                  </pic:spPr>
                </pic:pic>
              </a:graphicData>
            </a:graphic>
          </wp:inline>
        </w:drawing>
      </w:r>
      <w:r>
        <w:rPr/>
      </w:r>
      <w:r>
        <w:rPr/>
        <w:fldChar w:fldCharType="end"/>
      </w:r>
      <w:r>
        <w:rPr/>
        <w:tab/>
        <w:tab/>
        <w:tab/>
        <w:tab/>
        <w:tab/>
        <w:tab/>
        <w:t xml:space="preserve">(2)  </w:t>
      </w:r>
    </w:p>
    <w:p>
      <w:pPr>
        <w:pStyle w:val="Normal"/>
        <w:jc w:val="both"/>
        <w:rPr/>
      </w:pPr>
      <w:r>
        <w:rPr/>
        <w:t xml:space="preserve">unde </w:t>
      </w:r>
      <w:r>
        <w:rPr/>
      </w:r>
      <m:oMath xmlns:m="http://schemas.openxmlformats.org/officeDocument/2006/math">
        <m:sSub>
          <m:e>
            <m:r>
              <w:rPr>
                <w:rFonts w:ascii="Cambria Math" w:hAnsi="Cambria Math"/>
              </w:rPr>
              <m:t xml:space="preserve">R</m:t>
            </m:r>
          </m:e>
          <m:sub>
            <m:r>
              <w:rPr>
                <w:rFonts w:ascii="Cambria Math" w:hAnsi="Cambria Math"/>
              </w:rPr>
              <m:t xml:space="preserve">H</m:t>
            </m:r>
          </m:sub>
        </m:sSub>
        <m:r>
          <w:rPr>
            <w:rFonts w:ascii="Cambria Math" w:hAnsi="Cambria Math"/>
          </w:rPr>
          <m:t xml:space="preserve">=</m:t>
        </m:r>
        <m:f>
          <m:num>
            <m:r>
              <w:rPr>
                <w:rFonts w:ascii="Cambria Math" w:hAnsi="Cambria Math"/>
              </w:rPr>
              <m:t xml:space="preserve">1</m:t>
            </m:r>
          </m:num>
          <m:den>
            <m:r>
              <m:rPr>
                <m:lit/>
                <m:nor/>
              </m:rPr>
              <w:rPr>
                <w:rFonts w:ascii="Cambria Math" w:hAnsi="Cambria Math"/>
              </w:rPr>
              <m:t xml:space="preserve">nq</m:t>
            </m:r>
          </m:den>
        </m:f>
      </m:oMath>
      <w:r>
        <w:rPr/>
        <w:t xml:space="preserve">  reprezintă constanta Hall. Pentru metale q = - e şi R &lt; 0. Pentru semiconductori, având purtători de sarcină atât pozitivă cât şi negativă (goluri şi electroni) de concentraţii </w:t>
      </w:r>
      <w:r>
        <w:rPr>
          <w:i/>
        </w:rPr>
        <w:t>p</w:t>
      </w:r>
      <w:r>
        <w:rPr/>
        <w:t xml:space="preserve"> şi </w:t>
      </w:r>
      <w:r>
        <w:rPr>
          <w:i/>
        </w:rPr>
        <w:t>n</w:t>
      </w:r>
      <w:r>
        <w:rPr/>
        <w:t xml:space="preserve"> i cu mobilităţile </w:t>
      </w:r>
      <w:r>
        <w:rPr/>
      </w:r>
      <m:oMath xmlns:m="http://schemas.openxmlformats.org/officeDocument/2006/math">
        <m:sSub>
          <m:e>
            <m:r>
              <w:rPr>
                <w:rFonts w:ascii="Cambria Math" w:hAnsi="Cambria Math"/>
              </w:rPr>
              <m:t xml:space="preserve">μ</m:t>
            </m:r>
          </m:e>
          <m:sub>
            <m:r>
              <w:rPr>
                <w:rFonts w:ascii="Cambria Math" w:hAnsi="Cambria Math"/>
              </w:rPr>
              <m:t xml:space="preserve">p</m:t>
            </m:r>
          </m:sub>
        </m:sSub>
        <m:m>
          <m:mr>
            <m:e>
              <m:r>
                <m:rPr>
                  <m:lit/>
                  <m:nor/>
                </m:rPr>
                <w:rPr>
                  <w:rFonts w:ascii="Cambria Math" w:hAnsi="Cambria Math"/>
                </w:rPr>
                <m:t xml:space="preserve">si</m:t>
              </m:r>
            </m:e>
            <m:e>
              <m:sSub>
                <m:e>
                  <m:r>
                    <w:rPr>
                      <w:rFonts w:ascii="Cambria Math" w:hAnsi="Cambria Math"/>
                    </w:rPr>
                    <m:t xml:space="preserve">μ</m:t>
                  </m:r>
                </m:e>
                <m:sub>
                  <m:r>
                    <w:rPr>
                      <w:rFonts w:ascii="Cambria Math" w:hAnsi="Cambria Math"/>
                    </w:rPr>
                    <m:t xml:space="preserve">n</m:t>
                  </m:r>
                </m:sub>
              </m:sSub>
            </m:e>
          </m:mr>
        </m:m>
      </m:oMath>
      <w:r>
        <w:rPr/>
        <w:t>constanta Hall este:</w:t>
      </w:r>
    </w:p>
    <w:p>
      <w:pPr>
        <w:pStyle w:val="Normal"/>
        <w:jc w:val="center"/>
        <w:rPr/>
      </w:pPr>
      <w:r>
        <w:rPr/>
      </w:r>
      <m:oMath xmlns:m="http://schemas.openxmlformats.org/officeDocument/2006/math">
        <m:r>
          <w:rPr>
            <w:rFonts w:ascii="Cambria Math" w:hAnsi="Cambria Math"/>
          </w:rPr>
          <m:t xml:space="preserve">R</m:t>
        </m:r>
        <m:r>
          <w:rPr>
            <w:rFonts w:ascii="Cambria Math" w:hAnsi="Cambria Math"/>
          </w:rPr>
          <m:t xml:space="preserve">=</m:t>
        </m:r>
        <m:m>
          <m:mr>
            <m:e>
              <m:f>
                <m:num>
                  <m:r>
                    <w:rPr>
                      <w:rFonts w:ascii="Cambria Math" w:hAnsi="Cambria Math"/>
                    </w:rPr>
                    <m:t xml:space="preserve">1</m:t>
                  </m:r>
                </m:num>
                <m:den>
                  <m:r>
                    <w:rPr>
                      <w:rFonts w:ascii="Cambria Math" w:hAnsi="Cambria Math"/>
                    </w:rPr>
                    <m:t xml:space="preserve">q</m:t>
                  </m:r>
                </m:den>
              </m:f>
            </m:e>
            <m:e>
              <m:f>
                <m:num>
                  <m:sSubSup>
                    <m:e>
                      <m:r>
                        <w:rPr>
                          <w:rFonts w:ascii="Cambria Math" w:hAnsi="Cambria Math"/>
                        </w:rPr>
                        <m:t xml:space="preserve">pμ</m:t>
                      </m:r>
                    </m:e>
                    <m:sub>
                      <m:r>
                        <w:rPr>
                          <w:rFonts w:ascii="Cambria Math" w:hAnsi="Cambria Math"/>
                        </w:rPr>
                        <m:t xml:space="preserve">p</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nμ</m:t>
                      </m:r>
                    </m:e>
                    <m:sub>
                      <m:r>
                        <w:rPr>
                          <w:rFonts w:ascii="Cambria Math" w:hAnsi="Cambria Math"/>
                        </w:rPr>
                        <m:t xml:space="preserve">n</m:t>
                      </m:r>
                    </m:sub>
                    <m:sup>
                      <m:r>
                        <w:rPr>
                          <w:rFonts w:ascii="Cambria Math" w:hAnsi="Cambria Math"/>
                        </w:rPr>
                        <m:t xml:space="preserve">2</m:t>
                      </m:r>
                    </m:sup>
                  </m:sSubSup>
                </m:num>
                <m:den>
                  <m:r>
                    <w:rPr>
                      <w:rFonts w:ascii="Cambria Math" w:hAnsi="Cambria Math"/>
                    </w:rPr>
                    <m:t xml:space="preserve">(</m:t>
                  </m:r>
                  <m:sSub>
                    <m:e>
                      <m:r>
                        <w:rPr>
                          <w:rFonts w:ascii="Cambria Math" w:hAnsi="Cambria Math"/>
                        </w:rPr>
                        <m:t xml:space="preserve">pμ</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nμ</m:t>
                      </m:r>
                    </m:e>
                    <m:sub>
                      <m:r>
                        <w:rPr>
                          <w:rFonts w:ascii="Cambria Math" w:hAnsi="Cambria Math"/>
                        </w:rPr>
                        <m:t xml:space="preserve">n</m:t>
                      </m:r>
                    </m:sub>
                  </m:sSub>
                  <m:sSup>
                    <m:e>
                      <m:r>
                        <w:rPr>
                          <w:rFonts w:ascii="Cambria Math" w:hAnsi="Cambria Math"/>
                        </w:rPr>
                        <m:t xml:space="preserve">)</m:t>
                      </m:r>
                    </m:e>
                    <m:sup>
                      <m:r>
                        <w:rPr>
                          <w:rFonts w:ascii="Cambria Math" w:hAnsi="Cambria Math"/>
                        </w:rPr>
                        <m:t xml:space="preserve">2</m:t>
                      </m:r>
                    </m:sup>
                  </m:sSup>
                </m:den>
              </m:f>
            </m:e>
            <m:e/>
            <m:e>
              <m:f>
                <m:num>
                  <m:r>
                    <w:rPr>
                      <w:rFonts w:ascii="Cambria Math" w:hAnsi="Cambria Math"/>
                    </w:rPr>
                    <m:t xml:space="preserve">1</m:t>
                  </m:r>
                </m:num>
                <m:den>
                  <m:r>
                    <m:rPr>
                      <m:lit/>
                      <m:nor/>
                    </m:rPr>
                    <w:rPr>
                      <w:rFonts w:ascii="Cambria Math" w:hAnsi="Cambria Math"/>
                    </w:rPr>
                    <m:t xml:space="preserve">qn</m:t>
                  </m:r>
                </m:den>
              </m:f>
            </m:e>
          </m:mr>
        </m:m>
      </m:oMath>
      <w:r>
        <w:rPr/>
        <w:t xml:space="preserve">considerând cazul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p</m:t>
        </m:r>
      </m:oMath>
    </w:p>
    <w:p>
      <w:pPr>
        <w:pStyle w:val="Normal"/>
        <w:jc w:val="center"/>
        <w:rPr/>
      </w:pPr>
      <w:r>
        <w:rPr/>
        <w:t>Luând în considerare şi tipul  mecanismelor de relaxare al purtătorilor de sarcină se obţine:</w:t>
      </w:r>
    </w:p>
    <w:p>
      <w:pPr>
        <w:pStyle w:val="Normal"/>
        <w:ind w:left="3600" w:right="0" w:firstLine="720"/>
        <w:jc w:val="both"/>
        <w:rPr/>
      </w:pPr>
      <w:r>
        <w:rPr/>
      </w:r>
      <m:oMath xmlns:m="http://schemas.openxmlformats.org/officeDocument/2006/math">
        <m:r>
          <w:rPr>
            <w:rFonts w:ascii="Cambria Math" w:hAnsi="Cambria Math"/>
          </w:rPr>
          <m:t xml:space="preserve">R</m:t>
        </m:r>
        <m:r>
          <w:rPr>
            <w:rFonts w:ascii="Cambria Math" w:hAnsi="Cambria Math"/>
          </w:rPr>
          <m:t xml:space="preserve">=</m:t>
        </m:r>
        <m:f>
          <m:num>
            <m:r>
              <w:rPr>
                <w:rFonts w:ascii="Cambria Math" w:hAnsi="Cambria Math"/>
              </w:rPr>
              <m:t xml:space="preserve">K</m:t>
            </m:r>
          </m:num>
          <m:den>
            <m:r>
              <m:rPr>
                <m:lit/>
                <m:nor/>
              </m:rPr>
              <w:rPr>
                <w:rFonts w:ascii="Cambria Math" w:hAnsi="Cambria Math"/>
              </w:rPr>
              <m:t xml:space="preserve">nq</m:t>
            </m:r>
          </m:den>
        </m:f>
      </m:oMath>
      <w:r>
        <w:rPr/>
        <w:tab/>
        <w:tab/>
        <w:tab/>
        <w:tab/>
        <w:tab/>
        <w:t xml:space="preserve"> </w:t>
        <w:tab/>
        <w:t xml:space="preserve">(3) </w:t>
      </w:r>
    </w:p>
    <w:p>
      <w:pPr>
        <w:pStyle w:val="Normal"/>
        <w:jc w:val="both"/>
        <w:rPr/>
      </w:pPr>
      <w:r>
        <w:rPr/>
        <w:t xml:space="preserve">unde </w:t>
      </w:r>
      <w:r>
        <w:rPr/>
      </w:r>
      <m:oMath xmlns:m="http://schemas.openxmlformats.org/officeDocument/2006/math">
        <m:r>
          <w:rPr>
            <w:rFonts w:ascii="Cambria Math" w:hAnsi="Cambria Math"/>
          </w:rPr>
          <m:t xml:space="preserve">K</m:t>
        </m:r>
        <m:r>
          <w:rPr>
            <w:rFonts w:ascii="Cambria Math" w:hAnsi="Cambria Math"/>
          </w:rPr>
          <m:t xml:space="preserve">=</m:t>
        </m:r>
        <m:f>
          <m:num>
            <m:d>
              <m:dPr>
                <m:begChr m:val="⟨"/>
                <m:endChr m:val="⟩"/>
              </m:dPr>
              <m:e>
                <m:sSup>
                  <m:e>
                    <m:r>
                      <w:rPr>
                        <w:rFonts w:ascii="Cambria Math" w:hAnsi="Cambria Math"/>
                      </w:rPr>
                      <m:t xml:space="preserve">τ</m:t>
                    </m:r>
                  </m:e>
                  <m:sup>
                    <m:r>
                      <w:rPr>
                        <w:rFonts w:ascii="Cambria Math" w:hAnsi="Cambria Math"/>
                      </w:rPr>
                      <m:t xml:space="preserve">2</m:t>
                    </m:r>
                  </m:sup>
                </m:sSup>
              </m:e>
            </m:d>
          </m:num>
          <m:den>
            <m:sSup>
              <m:e>
                <m:d>
                  <m:dPr>
                    <m:begChr m:val="⟨"/>
                    <m:endChr m:val="⟩"/>
                  </m:dPr>
                  <m:e>
                    <m:r>
                      <w:rPr>
                        <w:rFonts w:ascii="Cambria Math" w:hAnsi="Cambria Math"/>
                      </w:rPr>
                      <m:t xml:space="preserve">τ</m:t>
                    </m:r>
                  </m:e>
                </m:d>
              </m:e>
              <m:sup>
                <m:r>
                  <w:rPr>
                    <w:rFonts w:ascii="Cambria Math" w:hAnsi="Cambria Math"/>
                  </w:rPr>
                  <m:t xml:space="preserve">2</m:t>
                </m:r>
              </m:sup>
            </m:sSup>
          </m:den>
        </m:f>
        <m:r>
          <w:rPr>
            <w:rFonts w:ascii="Cambria Math" w:hAnsi="Cambria Math"/>
          </w:rPr>
          <m:t xml:space="preserve">=</m:t>
        </m:r>
        <m:m>
          <m:mr>
            <m:e>
              <m:f>
                <m:num>
                  <m:r>
                    <w:rPr>
                      <w:rFonts w:ascii="Cambria Math" w:hAnsi="Cambria Math"/>
                    </w:rPr>
                    <m:t xml:space="preserve">3</m:t>
                  </m:r>
                  <m:r>
                    <w:rPr>
                      <w:rFonts w:ascii="Cambria Math" w:hAnsi="Cambria Math"/>
                    </w:rPr>
                    <m:t xml:space="preserve">π</m:t>
                  </m:r>
                </m:num>
                <m:den>
                  <m:r>
                    <w:rPr>
                      <w:rFonts w:ascii="Cambria Math" w:hAnsi="Cambria Math"/>
                    </w:rPr>
                    <m:t xml:space="preserve">8</m:t>
                  </m:r>
                </m:den>
              </m:f>
              <m:r>
                <w:rPr>
                  <w:rFonts w:ascii="Cambria Math" w:hAnsi="Cambria Math"/>
                </w:rPr>
                <m:t xml:space="preserve">;</m:t>
              </m:r>
            </m:e>
            <m:e>
              <m:f>
                <m:num>
                  <m:r>
                    <m:rPr>
                      <m:lit/>
                      <m:nor/>
                    </m:rPr>
                    <w:rPr>
                      <w:rFonts w:ascii="Cambria Math" w:hAnsi="Cambria Math"/>
                    </w:rPr>
                    <m:t xml:space="preserve">315</m:t>
                  </m:r>
                  <m:r>
                    <w:rPr>
                      <w:rFonts w:ascii="Cambria Math" w:hAnsi="Cambria Math"/>
                    </w:rPr>
                    <m:t xml:space="preserve">π</m:t>
                  </m:r>
                </m:num>
                <m:den>
                  <m:r>
                    <m:rPr>
                      <m:lit/>
                      <m:nor/>
                    </m:rPr>
                    <w:rPr>
                      <w:rFonts w:ascii="Cambria Math" w:hAnsi="Cambria Math"/>
                    </w:rPr>
                    <m:t xml:space="preserve">512</m:t>
                  </m:r>
                </m:den>
              </m:f>
              <m:r>
                <w:rPr>
                  <w:rFonts w:ascii="Cambria Math" w:hAnsi="Cambria Math"/>
                </w:rPr>
                <m:t xml:space="preserve">;</m:t>
              </m:r>
            </m:e>
            <m:e>
              <m:f>
                <m:num>
                  <m:r>
                    <m:rPr>
                      <m:lit/>
                      <m:nor/>
                    </m:rPr>
                    <w:rPr>
                      <w:rFonts w:ascii="Cambria Math" w:hAnsi="Cambria Math"/>
                    </w:rPr>
                    <m:t xml:space="preserve">45</m:t>
                  </m:r>
                  <m:r>
                    <w:rPr>
                      <w:rFonts w:ascii="Cambria Math" w:hAnsi="Cambria Math"/>
                    </w:rPr>
                    <m:t xml:space="preserve">π</m:t>
                  </m:r>
                </m:num>
                <m:den>
                  <m:r>
                    <m:rPr>
                      <m:lit/>
                      <m:nor/>
                    </m:rPr>
                    <w:rPr>
                      <w:rFonts w:ascii="Cambria Math" w:hAnsi="Cambria Math"/>
                    </w:rPr>
                    <m:t xml:space="preserve">128</m:t>
                  </m:r>
                </m:den>
              </m:f>
            </m:e>
          </m:mr>
        </m:m>
        <m:r>
          <w:rPr>
            <w:rFonts w:ascii="Cambria Math" w:hAnsi="Cambria Math"/>
          </w:rPr>
          <m:t xml:space="preserve">;</m:t>
        </m:r>
        <m:r>
          <m:rPr>
            <m:lit/>
            <m:nor/>
          </m:rPr>
          <w:rPr>
            <w:rFonts w:ascii="Cambria Math" w:hAnsi="Cambria Math"/>
          </w:rPr>
          <m:t xml:space="preserve">  1</m:t>
        </m:r>
      </m:oMath>
      <w:r>
        <w:rPr/>
        <w:t xml:space="preserve">, pentru relaxare prin difuzie pe fononii acustici, impurităţi de ionizare, fotoni şi alte mecanisme; </w:t>
      </w:r>
      <w:r>
        <w:rPr>
          <w:rFonts w:eastAsia="Symbol" w:cs="Symbol" w:ascii="Symbol" w:hAnsi="Symbol"/>
        </w:rPr>
        <w:t></w:t>
      </w:r>
      <w:r>
        <w:rPr/>
        <w:t xml:space="preserve"> este timpul de relaxare a conducţiei. Efectul Hall este însoţit de efecte de tip Etinghausen, Nerst - Etinghausen şi Richi - Leduc. Eliminarea lor se face inversând succesiv sensul curentului şi al câmpului magnetic,  tensiunea Hall obţinându-se prin medierea valorilor: U</w:t>
      </w:r>
      <w:r>
        <w:rPr>
          <w:position w:val="-6"/>
        </w:rPr>
        <w:t>1</w:t>
      </w:r>
      <w:r>
        <w:rPr/>
        <w:t xml:space="preserve"> =U</w:t>
      </w:r>
      <w:r>
        <w:rPr>
          <w:position w:val="-6"/>
        </w:rPr>
        <w:t>+I+B</w:t>
      </w:r>
      <w:r>
        <w:rPr/>
        <w:t xml:space="preserve"> ; U</w:t>
      </w:r>
      <w:r>
        <w:rPr>
          <w:position w:val="-6"/>
        </w:rPr>
        <w:t>2</w:t>
      </w:r>
      <w:r>
        <w:rPr/>
        <w:t xml:space="preserve"> =U</w:t>
      </w:r>
      <w:r>
        <w:rPr>
          <w:position w:val="-6"/>
        </w:rPr>
        <w:t xml:space="preserve">-I+B </w:t>
      </w:r>
      <w:r>
        <w:rPr/>
        <w:t>; U</w:t>
      </w:r>
      <w:r>
        <w:rPr>
          <w:position w:val="-6"/>
        </w:rPr>
        <w:t xml:space="preserve">3 </w:t>
      </w:r>
      <w:r>
        <w:rPr/>
        <w:t>=U</w:t>
      </w:r>
      <w:r>
        <w:rPr>
          <w:position w:val="-6"/>
        </w:rPr>
        <w:t>-I-B</w:t>
      </w:r>
      <w:r>
        <w:rPr/>
        <w:t>; U</w:t>
      </w:r>
      <w:r>
        <w:rPr>
          <w:position w:val="-6"/>
        </w:rPr>
        <w:t>4</w:t>
      </w:r>
      <w:r>
        <w:rPr/>
        <w:t xml:space="preserve"> = U</w:t>
      </w:r>
      <w:r>
        <w:rPr>
          <w:position w:val="-6"/>
        </w:rPr>
        <w:t>+I-B</w:t>
      </w:r>
      <w:r>
        <w:rPr/>
        <w:t xml:space="preserve"> .</w:t>
      </w:r>
    </w:p>
    <w:p>
      <w:pPr>
        <w:pStyle w:val="Normal"/>
        <w:ind w:left="0" w:right="0" w:firstLine="720"/>
        <w:jc w:val="both"/>
        <w:rPr/>
      </w:pPr>
      <w:r>
        <w:rPr/>
        <w:t>Eliminarea căderii de tensiune datorată nesimetriei contactelor pentru măsurarea tensiunii se face utilizând un montaj cu 5 contacte şi un potenţiometru P</w:t>
      </w:r>
      <w:r>
        <w:rPr>
          <w:vertAlign w:val="subscript"/>
        </w:rPr>
        <w:t>3</w:t>
      </w:r>
      <w:r>
        <w:rPr/>
        <w:t xml:space="preserve"> de simetrizare (Fig.2).</w:t>
      </w:r>
    </w:p>
    <w:p>
      <w:pPr>
        <w:pStyle w:val="Normal"/>
        <w:jc w:val="both"/>
        <w:rPr>
          <w:b/>
          <w:b/>
          <w:u w:val="single"/>
        </w:rPr>
      </w:pPr>
      <w:r>
        <w:rPr>
          <w:b/>
          <w:u w:val="single"/>
        </w:rPr>
        <w:t>Modul de lucru</w:t>
      </w:r>
    </w:p>
    <w:p>
      <w:pPr>
        <w:pStyle w:val="Normal"/>
        <w:jc w:val="both"/>
        <w:rPr/>
      </w:pPr>
      <w:r>
        <w:rPr/>
        <w:t>a) Se verifică montajul experimental şi domeniile de măsură ale instrumentelor (mA pentru curentul, I, prin probă, DC-mV-100mV pentru milivoltmetrul electronic cu care măsurăm tensiunea Hall U</w:t>
      </w:r>
      <w:r>
        <w:rPr>
          <w:vertAlign w:val="subscript"/>
        </w:rPr>
        <w:t>H</w:t>
      </w:r>
      <w:r>
        <w:rPr/>
        <w:t xml:space="preserve"> şi conectarea corectă a sursei S2 pentru curentul, I</w:t>
      </w:r>
      <w:r>
        <w:rPr>
          <w:vertAlign w:val="subscript"/>
        </w:rPr>
        <w:t>B</w:t>
      </w:r>
      <w:r>
        <w:rPr/>
        <w:t>, prin electromagnet). Se verifică zeroul milivoltmetrului electronic atunci când S1 şi S2 sunt oprite.</w:t>
      </w:r>
    </w:p>
    <w:p>
      <w:pPr>
        <w:pStyle w:val="Normal"/>
        <w:jc w:val="both"/>
        <w:rPr/>
      </w:pPr>
      <w:r>
        <w:rPr/>
      </w:r>
    </w:p>
    <w:p>
      <w:pPr>
        <w:pStyle w:val="Normal"/>
        <w:jc w:val="both"/>
        <w:rPr/>
      </w:pPr>
      <w:r>
        <w:rPr/>
      </w:r>
    </w:p>
    <w:p>
      <w:pPr>
        <w:pStyle w:val="Normal"/>
        <w:jc w:val="both"/>
        <w:rPr/>
      </w:pPr>
      <w:r>
        <mc:AlternateContent>
          <mc:Choice Requires="wpg">
            <w:drawing>
              <wp:anchor behindDoc="0" distT="0" distB="0" distL="114935" distR="114935" simplePos="0" locked="0" layoutInCell="0" allowOverlap="1" relativeHeight="20">
                <wp:simplePos x="0" y="0"/>
                <wp:positionH relativeFrom="column">
                  <wp:posOffset>0</wp:posOffset>
                </wp:positionH>
                <wp:positionV relativeFrom="paragraph">
                  <wp:posOffset>177800</wp:posOffset>
                </wp:positionV>
                <wp:extent cx="5314315" cy="2301240"/>
                <wp:effectExtent l="0" t="0" r="0" b="0"/>
                <wp:wrapTopAndBottom/>
                <wp:docPr id="3" name="Shape2"/>
                <a:graphic xmlns:a="http://schemas.openxmlformats.org/drawingml/2006/main">
                  <a:graphicData uri="http://schemas.microsoft.com/office/word/2010/wordprocessingGroup">
                    <wpg:wgp>
                      <wpg:cNvGrpSpPr/>
                      <wpg:grpSpPr>
                        <a:xfrm>
                          <a:off x="0" y="0"/>
                          <a:ext cx="5314320" cy="2301120"/>
                          <a:chOff x="0" y="0"/>
                          <a:chExt cx="5314320" cy="2301120"/>
                        </a:xfrm>
                      </wpg:grpSpPr>
                      <pic:pic xmlns:pic="http://schemas.openxmlformats.org/drawingml/2006/picture">
                        <pic:nvPicPr>
                          <pic:cNvPr id="1" name="" descr=""/>
                          <pic:cNvPicPr/>
                        </pic:nvPicPr>
                        <pic:blipFill>
                          <a:blip r:embed="rId4"/>
                          <a:stretch/>
                        </pic:blipFill>
                        <pic:spPr>
                          <a:xfrm>
                            <a:off x="0" y="0"/>
                            <a:ext cx="5314320" cy="2295360"/>
                          </a:xfrm>
                          <a:prstGeom prst="rect">
                            <a:avLst/>
                          </a:prstGeom>
                          <a:ln w="0">
                            <a:noFill/>
                          </a:ln>
                        </pic:spPr>
                      </pic:pic>
                      <wps:wsp>
                        <wps:cNvSpPr txBox="1"/>
                        <wps:spPr>
                          <a:xfrm>
                            <a:off x="1661040" y="2026800"/>
                            <a:ext cx="640080" cy="274320"/>
                          </a:xfrm>
                          <a:prstGeom prst="rect">
                            <a:avLst/>
                          </a:prstGeom>
                          <a:noFill/>
                          <a:ln w="0">
                            <a:noFill/>
                          </a:ln>
                        </wps:spPr>
                        <wps:txbx>
                          <w:txbxContent>
                            <w:p>
                              <w:pPr>
                                <w:bidi w:val="0"/>
                                <w:rPr/>
                              </w:pPr>
                              <w:r>
                                <w:rPr>
                                  <w:kern w:val="2"/>
                                  <w:sz w:val="24"/>
                                  <w:b/>
                                  <w:szCs w:val="20"/>
                                  <w:rFonts w:ascii="Times New Roman" w:hAnsi="Times New Roman" w:eastAsia="Times New Roman" w:cs="Times New Roman"/>
                                  <w:color w:val="auto"/>
                                  <w:lang w:val="ro-RO" w:bidi="ar-SA"/>
                                </w:rPr>
                                <w:t>Fig.2</w:t>
                              </w:r>
                            </w:p>
                          </w:txbxContent>
                        </wps:txbx>
                        <wps:bodyPr wrap="square" anchor="t">
                          <a:noAutofit/>
                        </wps:bodyPr>
                      </wps:wsp>
                    </wpg:wgp>
                  </a:graphicData>
                </a:graphic>
              </wp:anchor>
            </w:drawing>
          </mc:Choice>
          <mc:Fallback>
            <w:pict>
              <v:group id="shape_0" alt="Shape2" style="position:absolute;margin-left:0pt;margin-top:14pt;width:418.45pt;height:181.2pt" coordorigin="0,280" coordsize="8369,3624">
                <v:shape id="shape_0" stroked="f" o:allowincell="f" style="position:absolute;left:0;top:280;width:8368;height:3614;mso-wrap-style:none;v-text-anchor:middle" type="_x0000_t75">
                  <v:imagedata r:id="rId4" o:detectmouseclick="t"/>
                  <v:stroke color="#3465a4" joinstyle="round" endcap="flat"/>
                  <w10:wrap type="topAndBottom"/>
                </v:shape>
                <v:shape id="shape_0" stroked="f" o:allowincell="f" style="position:absolute;left:2616;top:3472;width:1007;height:431;mso-wrap-style:square;v-text-anchor:top" type="_x0000_t202">
                  <v:textbox>
                    <w:txbxContent>
                      <w:p>
                        <w:pPr>
                          <w:bidi w:val="0"/>
                          <w:rPr/>
                        </w:pPr>
                        <w:r>
                          <w:rPr>
                            <w:kern w:val="2"/>
                            <w:sz w:val="24"/>
                            <w:b/>
                            <w:szCs w:val="20"/>
                            <w:rFonts w:ascii="Times New Roman" w:hAnsi="Times New Roman" w:eastAsia="Times New Roman" w:cs="Times New Roman"/>
                            <w:color w:val="auto"/>
                            <w:lang w:val="ro-RO" w:bidi="ar-SA"/>
                          </w:rPr>
                          <w:t>Fig.2</w:t>
                        </w:r>
                      </w:p>
                    </w:txbxContent>
                  </v:textbox>
                  <v:fill o:detectmouseclick="t" on="false"/>
                  <v:stroke color="#3465a4" joinstyle="round" endcap="flat"/>
                  <w10:wrap type="topAndBottom"/>
                </v:shape>
              </v:group>
            </w:pict>
          </mc:Fallback>
        </mc:AlternateContent>
      </w:r>
      <w:r>
        <w:rPr/>
        <w:tab/>
        <w:t>2.</w:t>
      </w:r>
      <w:r>
        <w:rPr>
          <w:u w:val="single"/>
        </w:rPr>
        <w:t>SCHEMA MONTAJULUI EXPERIMENTAL ŞI MODUL DE LUCRU</w:t>
      </w:r>
    </w:p>
    <w:p>
      <w:pPr>
        <w:pStyle w:val="Normal"/>
        <w:jc w:val="both"/>
        <w:rPr/>
      </w:pPr>
      <w:r>
        <w:rPr/>
        <w:tab/>
      </w:r>
    </w:p>
    <w:p>
      <w:pPr>
        <w:pStyle w:val="Normal"/>
        <w:jc w:val="both"/>
        <w:rPr/>
      </w:pPr>
      <w:r>
        <w:rPr/>
        <w:t>b) Se cuplează sursa S</w:t>
      </w:r>
      <w:r>
        <w:rPr>
          <w:vertAlign w:val="subscript"/>
        </w:rPr>
        <w:t>1</w:t>
      </w:r>
      <w:r>
        <w:rPr/>
        <w:t xml:space="preserve"> şi cu  potenţiometrul P</w:t>
      </w:r>
      <w:r>
        <w:rPr>
          <w:vertAlign w:val="subscript"/>
        </w:rPr>
        <w:t>1</w:t>
      </w:r>
      <w:r>
        <w:rPr/>
        <w:t xml:space="preserve"> se reglează treptat curentul I până la valoarea </w:t>
      </w:r>
      <w:r>
        <w:rPr>
          <w:b/>
        </w:rPr>
        <w:t>4 mA</w:t>
      </w:r>
      <w:r>
        <w:rPr/>
        <w:t>, urmărind  ca indicaţia milivoltmetrului electronic să fie la valoarea zero. In caz contrar, reglajul la zero se face cu potenţiometrul P</w:t>
      </w:r>
      <w:r>
        <w:rPr>
          <w:vertAlign w:val="subscript"/>
        </w:rPr>
        <w:t>3</w:t>
      </w:r>
      <w:r>
        <w:rPr/>
        <w:t>.</w:t>
      </w:r>
    </w:p>
    <w:p>
      <w:pPr>
        <w:pStyle w:val="Normal"/>
        <w:jc w:val="both"/>
        <w:rPr/>
      </w:pPr>
      <w:r>
        <w:rPr/>
        <w:t>c) Se cuplează sursa S2 şi cu potenţiometrul P</w:t>
      </w:r>
      <w:r>
        <w:rPr>
          <w:vertAlign w:val="subscript"/>
        </w:rPr>
        <w:t>2</w:t>
      </w:r>
      <w:r>
        <w:rPr/>
        <w:t xml:space="preserve">  se reglează curentul prin bobina electromagnetului la valori cuprinse  </w:t>
      </w:r>
      <w:r>
        <w:rPr>
          <w:b/>
        </w:rPr>
        <w:t>între 2 şi 5 A</w:t>
      </w:r>
      <w:r>
        <w:rPr/>
        <w:t xml:space="preserve"> şi se citesc valorile corespunzătoare ale tensiunii Hall  U</w:t>
      </w:r>
      <w:r>
        <w:rPr>
          <w:vertAlign w:val="subscript"/>
        </w:rPr>
        <w:t>H</w:t>
      </w:r>
      <w:r>
        <w:rPr/>
        <w:t xml:space="preserve"> pe milivoltmetrul electronic.</w:t>
      </w:r>
    </w:p>
    <w:p>
      <w:pPr>
        <w:pStyle w:val="Normal"/>
        <w:jc w:val="both"/>
        <w:rPr/>
      </w:pPr>
      <w:r>
        <w:rPr/>
        <w:t>d) Se repetă operaţiile de la punctele b) şi c) pentru diferite valori ale curentului I până la 8 mA (cel puţin 5 valori echidistante).</w:t>
      </w:r>
    </w:p>
    <w:p>
      <w:pPr>
        <w:pStyle w:val="Normal"/>
        <w:jc w:val="both"/>
        <w:rPr/>
      </w:pPr>
      <w:r>
        <w:rPr/>
        <w:t>e) Se determină valorile inducţiei câmpului magnetic B corespunzătoare valorilor I</w:t>
      </w:r>
      <w:r>
        <w:rPr>
          <w:vertAlign w:val="subscript"/>
        </w:rPr>
        <w:t>B</w:t>
      </w:r>
      <w:r>
        <w:rPr/>
        <w:t xml:space="preserve"> utilizând graficul de etalonare al electromagnetului.</w:t>
      </w:r>
    </w:p>
    <w:p>
      <w:pPr>
        <w:pStyle w:val="Normal"/>
        <w:jc w:val="both"/>
        <w:rPr/>
      </w:pPr>
      <w:r>
        <w:rPr/>
        <w:t>f) Se reprezintă pe acelaşi grafic U</w:t>
      </w:r>
      <w:r>
        <w:rPr>
          <w:vertAlign w:val="subscript"/>
        </w:rPr>
        <w:t>H</w:t>
      </w:r>
      <w:r>
        <w:rPr/>
        <w:t>= f(B) pentru diferitele valori ale curentului I prin probă şi se determină prin metoda grafică  sau  metoda celor mai mici pătrate pantele dreptelor respective:</w:t>
      </w:r>
    </w:p>
    <w:p>
      <w:pPr>
        <w:pStyle w:val="Normal"/>
        <w:ind w:left="720" w:right="0" w:firstLine="720"/>
        <w:jc w:val="both"/>
        <w:rPr/>
      </w:pPr>
      <w:r>
        <w:rPr/>
        <w:t xml:space="preserve"> </w:t>
      </w:r>
      <w:r>
        <w:rPr/>
      </w:r>
      <m:oMath xmlns:m="http://schemas.openxmlformats.org/officeDocument/2006/math">
        <m:r>
          <w:rPr>
            <w:rFonts w:ascii="Cambria Math" w:hAnsi="Cambria Math"/>
          </w:rPr>
          <m:t xml:space="preserve">C</m:t>
        </m:r>
        <m:r>
          <w:rPr>
            <w:rFonts w:ascii="Cambria Math" w:hAnsi="Cambria Math"/>
          </w:rPr>
          <m:t xml:space="preserve">=</m:t>
        </m:r>
        <m:f>
          <m:num>
            <m:sSub>
              <m:e>
                <m:r>
                  <w:rPr>
                    <w:rFonts w:ascii="Cambria Math" w:hAnsi="Cambria Math"/>
                  </w:rPr>
                  <m:t xml:space="preserve">ΔU</m:t>
                </m:r>
              </m:e>
              <m:sub>
                <m:r>
                  <w:rPr>
                    <w:rFonts w:ascii="Cambria Math" w:hAnsi="Cambria Math"/>
                  </w:rPr>
                  <m:t xml:space="preserve">H</m:t>
                </m:r>
              </m:sub>
            </m:sSub>
          </m:num>
          <m:den>
            <m:r>
              <w:rPr>
                <w:rFonts w:ascii="Cambria Math" w:hAnsi="Cambria Math"/>
              </w:rPr>
              <m:t xml:space="preserve">ΔB</m:t>
            </m:r>
          </m:den>
        </m:f>
        <m:r>
          <w:rPr>
            <w:rFonts w:ascii="Cambria Math" w:hAnsi="Cambria Math"/>
          </w:rPr>
          <m:t xml:space="preserve">=</m:t>
        </m:r>
        <m:f>
          <m:num>
            <m:sSub>
              <m:e>
                <m:r>
                  <w:rPr>
                    <w:rFonts w:ascii="Cambria Math" w:hAnsi="Cambria Math"/>
                  </w:rPr>
                  <m:t xml:space="preserve">R</m:t>
                </m:r>
              </m:e>
              <m:sub>
                <m:r>
                  <w:rPr>
                    <w:rFonts w:ascii="Cambria Math" w:hAnsi="Cambria Math"/>
                  </w:rPr>
                  <m:t xml:space="preserve">H</m:t>
                </m:r>
              </m:sub>
            </m:sSub>
            <m:r>
              <w:rPr>
                <w:rFonts w:ascii="Cambria Math" w:hAnsi="Cambria Math"/>
              </w:rPr>
              <m:t xml:space="preserve">⋅</m:t>
            </m:r>
            <m:r>
              <w:rPr>
                <w:rFonts w:ascii="Cambria Math" w:hAnsi="Cambria Math"/>
              </w:rPr>
              <m:t xml:space="preserve">I</m:t>
            </m:r>
          </m:num>
          <m:den>
            <m:r>
              <w:rPr>
                <w:rFonts w:ascii="Cambria Math" w:hAnsi="Cambria Math"/>
              </w:rPr>
              <m:t xml:space="preserve">d</m:t>
            </m:r>
          </m:den>
        </m:f>
      </m:oMath>
      <w:r>
        <w:rPr/>
        <w:tab/>
        <w:tab/>
        <w:tab/>
        <w:tab/>
        <w:tab/>
        <w:tab/>
        <w:tab/>
        <w:tab/>
        <w:t>(4)</w:t>
      </w:r>
    </w:p>
    <w:p>
      <w:pPr>
        <w:pStyle w:val="Normal"/>
        <w:ind w:left="0" w:right="0" w:hanging="720"/>
        <w:jc w:val="both"/>
        <w:rPr/>
      </w:pPr>
      <w:r>
        <w:rPr>
          <w:position w:val="-6"/>
        </w:rPr>
        <w:tab/>
        <w:t xml:space="preserve">Pentru reprezentări grafice se poate folosi programul </w:t>
      </w:r>
      <w:r>
        <w:rPr>
          <w:b/>
          <w:position w:val="-6"/>
        </w:rPr>
        <w:t>SciDavis</w:t>
      </w:r>
      <w:r>
        <w:rPr>
          <w:position w:val="-6"/>
        </w:rPr>
        <w:t xml:space="preserve"> instalat pe calculatoarele din laborator. Se utilizează o probă de germaniu - policristalin cu:</w:t>
      </w:r>
      <w:r>
        <w:rPr/>
      </w:r>
      <m:oMath xmlns:m="http://schemas.openxmlformats.org/officeDocument/2006/math">
        <m:r>
          <w:rPr>
            <w:rFonts w:ascii="Cambria Math" w:hAnsi="Cambria Math"/>
          </w:rPr>
          <m:t xml:space="preserve">d</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w:rPr>
                <w:rFonts w:ascii="Cambria Math" w:hAnsi="Cambria Math"/>
              </w:rPr>
              <m:t xml:space="preserve">7</m:t>
            </m:r>
          </m:sup>
        </m:sSup>
        <m:r>
          <w:rPr>
            <w:rFonts w:ascii="Cambria Math" w:hAnsi="Cambria Math"/>
          </w:rPr>
          <m:t xml:space="preserve">m</m:t>
        </m:r>
      </m:oMath>
      <w:r>
        <w:rPr/>
        <w:t xml:space="preserve">. </w:t>
      </w:r>
    </w:p>
    <w:p>
      <w:pPr>
        <w:pStyle w:val="Normal"/>
        <w:jc w:val="both"/>
        <w:rPr/>
      </w:pPr>
      <w:r>
        <w:rPr/>
        <w:t xml:space="preserve">g) Din relaţia (4) se calculează: </w:t>
      </w:r>
      <w:r>
        <w:rPr/>
      </w:r>
      <m:oMath xmlns:m="http://schemas.openxmlformats.org/officeDocument/2006/math">
        <m:sSub>
          <m:e>
            <m:r>
              <w:rPr>
                <w:rFonts w:ascii="Cambria Math" w:hAnsi="Cambria Math"/>
              </w:rPr>
              <m:t xml:space="preserve">R</m:t>
            </m:r>
          </m:e>
          <m:sub>
            <m:r>
              <w:rPr>
                <w:rFonts w:ascii="Cambria Math" w:hAnsi="Cambria Math"/>
              </w:rPr>
              <m:t xml:space="preserve">H</m:t>
            </m:r>
          </m:sub>
        </m:sSub>
        <m:r>
          <w:rPr>
            <w:rFonts w:ascii="Cambria Math" w:hAnsi="Cambria Math"/>
          </w:rPr>
          <m:t xml:space="preserve">=</m:t>
        </m:r>
        <m:f>
          <m:num>
            <m:r>
              <w:rPr>
                <w:rFonts w:ascii="Cambria Math" w:hAnsi="Cambria Math"/>
              </w:rPr>
              <m:t xml:space="preserve">d</m:t>
            </m:r>
          </m:num>
          <m:den>
            <m:r>
              <w:rPr>
                <w:rFonts w:ascii="Cambria Math" w:hAnsi="Cambria Math"/>
              </w:rPr>
              <m:t xml:space="preserve">I</m:t>
            </m:r>
          </m:den>
        </m:f>
        <m:d>
          <m:dPr>
            <m:begChr m:val="("/>
            <m:endChr m:val=")"/>
          </m:dPr>
          <m:e>
            <m:f>
              <m:num>
                <m:sSub>
                  <m:e>
                    <m:r>
                      <w:rPr>
                        <w:rFonts w:ascii="Cambria Math" w:hAnsi="Cambria Math"/>
                      </w:rPr>
                      <m:t xml:space="preserve">ΔU</m:t>
                    </m:r>
                  </m:e>
                  <m:sub>
                    <m:r>
                      <w:rPr>
                        <w:rFonts w:ascii="Cambria Math" w:hAnsi="Cambria Math"/>
                      </w:rPr>
                      <m:t xml:space="preserve">H</m:t>
                    </m:r>
                  </m:sub>
                </m:sSub>
              </m:num>
              <m:den>
                <m:r>
                  <w:rPr>
                    <w:rFonts w:ascii="Cambria Math" w:hAnsi="Cambria Math"/>
                  </w:rPr>
                  <m:t xml:space="preserve">ΔB</m:t>
                </m:r>
              </m:den>
            </m:f>
          </m:e>
        </m:d>
      </m:oMath>
      <w:r>
        <w:rPr/>
        <w:t xml:space="preserve"> pentru curenţii I prin probă, respectiv, utilizând rel.(3) se calculează </w:t>
      </w:r>
      <w:r>
        <w:rPr/>
      </w:r>
      <m:oMath xmlns:m="http://schemas.openxmlformats.org/officeDocument/2006/math">
        <m:r>
          <w:rPr>
            <w:rFonts w:ascii="Cambria Math" w:hAnsi="Cambria Math"/>
          </w:rPr>
          <m:t xml:space="preserve">n</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H</m:t>
                </m:r>
              </m:sub>
            </m:sSub>
            <m:r>
              <m:rPr>
                <m:lit/>
                <m:nor/>
              </m:rPr>
              <w:rPr>
                <w:rFonts w:ascii="Cambria Math" w:hAnsi="Cambria Math"/>
              </w:rPr>
              <m:t xml:space="preserve">.</m:t>
            </m:r>
            <m:r>
              <w:rPr>
                <w:rFonts w:ascii="Cambria Math" w:hAnsi="Cambria Math"/>
              </w:rPr>
              <m:t xml:space="preserve">q</m:t>
            </m:r>
          </m:den>
        </m:f>
      </m:oMath>
      <w:r>
        <w:rPr/>
        <w:t xml:space="preserve"> luând pentru q = 1,6. 10</w:t>
      </w:r>
      <w:r>
        <w:rPr>
          <w:position w:val="6"/>
          <w:sz w:val="22"/>
        </w:rPr>
        <w:t>-19</w:t>
      </w:r>
      <w:r>
        <w:rPr/>
        <w:t xml:space="preserve"> C.</w:t>
      </w:r>
    </w:p>
    <w:p>
      <w:pPr>
        <w:pStyle w:val="Normal"/>
        <w:jc w:val="both"/>
        <w:rPr/>
      </w:pPr>
      <w:r>
        <w:rPr/>
        <w:t>h) Valorile n obţinute pentru curenţii I</w:t>
      </w:r>
      <w:r>
        <w:rPr>
          <w:vertAlign w:val="subscript"/>
        </w:rPr>
        <w:t>i</w:t>
      </w:r>
      <w:r>
        <w:rPr/>
        <w:t xml:space="preserve"> se prelucrează statistic pentru eroarea pătratică medie </w:t>
      </w:r>
      <w:r>
        <w:rPr/>
      </w:r>
      <m:oMath xmlns:m="http://schemas.openxmlformats.org/officeDocument/2006/math">
        <m:sSub>
          <m:e>
            <m:r>
              <w:rPr>
                <w:rFonts w:ascii="Cambria Math" w:hAnsi="Cambria Math"/>
              </w:rPr>
              <m:t xml:space="preserve">σ</m:t>
            </m:r>
          </m:e>
          <m:sub>
            <m:r>
              <w:rPr>
                <w:rFonts w:ascii="Cambria Math" w:hAnsi="Cambria Math"/>
              </w:rPr>
              <m:t xml:space="preserve">n</m:t>
            </m:r>
          </m:sub>
        </m:sSub>
      </m:oMath>
      <w:r>
        <w:rPr/>
        <w:t xml:space="preserve">şi eroarea relativă </w:t>
      </w:r>
      <w:r>
        <w:rPr/>
      </w:r>
      <m:oMath xmlns:m="http://schemas.openxmlformats.org/officeDocument/2006/math">
        <m:r>
          <w:rPr>
            <w:rFonts w:ascii="Cambria Math" w:hAnsi="Cambria Math"/>
          </w:rPr>
          <m:t xml:space="preserve">ε</m:t>
        </m:r>
      </m:oMath>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b/>
          <w:b/>
          <w:position w:val="-6"/>
          <w:u w:val="single"/>
        </w:rPr>
      </w:pPr>
      <w:r>
        <w:rPr>
          <w:b/>
          <w:position w:val="-6"/>
          <w:u w:val="single"/>
        </w:rPr>
        <w:t>Tabel cu date experimentale:</w:t>
      </w:r>
    </w:p>
    <w:p>
      <w:pPr>
        <w:pStyle w:val="Normal"/>
        <w:jc w:val="both"/>
        <w:rPr>
          <w:b/>
          <w:b/>
          <w:position w:val="-6"/>
          <w:u w:val="single"/>
        </w:rPr>
      </w:pPr>
      <w:r>
        <w:rPr>
          <w:b/>
          <w:position w:val="-6"/>
          <w:u w:val="single"/>
        </w:rPr>
      </w:r>
    </w:p>
    <w:tbl>
      <w:tblPr>
        <w:tblW w:w="9569" w:type="dxa"/>
        <w:jc w:val="left"/>
        <w:tblInd w:w="127" w:type="dxa"/>
        <w:tblLayout w:type="fixed"/>
        <w:tblCellMar>
          <w:top w:w="0" w:type="dxa"/>
          <w:left w:w="108" w:type="dxa"/>
          <w:bottom w:w="0" w:type="dxa"/>
          <w:right w:w="108" w:type="dxa"/>
        </w:tblCellMar>
      </w:tblPr>
      <w:tblGrid>
        <w:gridCol w:w="992"/>
        <w:gridCol w:w="993"/>
        <w:gridCol w:w="1010"/>
        <w:gridCol w:w="1174"/>
        <w:gridCol w:w="1080"/>
        <w:gridCol w:w="1080"/>
        <w:gridCol w:w="1080"/>
        <w:gridCol w:w="1080"/>
        <w:gridCol w:w="1080"/>
      </w:tblGrid>
      <w:tr>
        <w:trPr>
          <w:trHeight w:val="556" w:hRule="atLeast"/>
          <w:cantSplit w:val="true"/>
        </w:trPr>
        <w:tc>
          <w:tcPr>
            <w:tcW w:w="992" w:type="dxa"/>
            <w:tcBorders>
              <w:top w:val="double" w:sz="4" w:space="0" w:color="000000"/>
              <w:left w:val="double" w:sz="4" w:space="0" w:color="000000"/>
              <w:bottom w:val="single" w:sz="6" w:space="0" w:color="000000"/>
              <w:right w:val="single" w:sz="6" w:space="0" w:color="000000"/>
            </w:tcBorders>
            <w:vAlign w:val="center"/>
          </w:tcPr>
          <w:p>
            <w:pPr>
              <w:pStyle w:val="Heading2"/>
              <w:rPr>
                <w:b/>
                <w:b/>
                <w:sz w:val="24"/>
              </w:rPr>
            </w:pPr>
            <w:r>
              <w:rPr>
                <w:b/>
                <w:sz w:val="24"/>
              </w:rPr>
              <w:t>I</w:t>
            </w:r>
          </w:p>
        </w:tc>
        <w:tc>
          <w:tcPr>
            <w:tcW w:w="993" w:type="dxa"/>
            <w:tcBorders>
              <w:top w:val="double" w:sz="4" w:space="0" w:color="000000"/>
              <w:left w:val="single" w:sz="6" w:space="0" w:color="000000"/>
              <w:bottom w:val="single" w:sz="6" w:space="0" w:color="000000"/>
              <w:right w:val="single" w:sz="6" w:space="0" w:color="000000"/>
            </w:tcBorders>
            <w:vAlign w:val="center"/>
          </w:tcPr>
          <w:p>
            <w:pPr>
              <w:pStyle w:val="Normal"/>
              <w:jc w:val="center"/>
              <w:rPr/>
            </w:pPr>
            <w:r>
              <w:rPr>
                <w:b/>
              </w:rPr>
              <w:t>I</w:t>
            </w:r>
            <w:r>
              <w:rPr>
                <w:b/>
                <w:vertAlign w:val="subscript"/>
              </w:rPr>
              <w:t>B</w:t>
            </w:r>
          </w:p>
        </w:tc>
        <w:tc>
          <w:tcPr>
            <w:tcW w:w="1010" w:type="dxa"/>
            <w:tcBorders>
              <w:top w:val="double" w:sz="4" w:space="0" w:color="000000"/>
              <w:left w:val="single" w:sz="6" w:space="0" w:color="000000"/>
              <w:bottom w:val="single" w:sz="6" w:space="0" w:color="000000"/>
              <w:right w:val="single" w:sz="6" w:space="0" w:color="000000"/>
            </w:tcBorders>
            <w:vAlign w:val="center"/>
          </w:tcPr>
          <w:p>
            <w:pPr>
              <w:pStyle w:val="Normal"/>
              <w:jc w:val="center"/>
              <w:rPr>
                <w:b/>
                <w:b/>
              </w:rPr>
            </w:pPr>
            <w:r>
              <w:rPr>
                <w:b/>
              </w:rPr>
              <w:t>B</w:t>
            </w:r>
          </w:p>
        </w:tc>
        <w:tc>
          <w:tcPr>
            <w:tcW w:w="1174" w:type="dxa"/>
            <w:tcBorders>
              <w:top w:val="double" w:sz="4" w:space="0" w:color="000000"/>
              <w:left w:val="single" w:sz="6" w:space="0" w:color="000000"/>
              <w:bottom w:val="single" w:sz="6" w:space="0" w:color="000000"/>
              <w:right w:val="single" w:sz="6" w:space="0" w:color="000000"/>
            </w:tcBorders>
            <w:vAlign w:val="center"/>
          </w:tcPr>
          <w:p>
            <w:pPr>
              <w:pStyle w:val="Normal"/>
              <w:jc w:val="center"/>
              <w:rPr/>
            </w:pPr>
            <w:r>
              <w:rPr>
                <w:b/>
              </w:rPr>
              <w:t>U</w:t>
            </w:r>
            <w:r>
              <w:rPr>
                <w:b/>
                <w:vertAlign w:val="subscript"/>
              </w:rPr>
              <w:t>H</w:t>
            </w:r>
          </w:p>
        </w:tc>
        <w:tc>
          <w:tcPr>
            <w:tcW w:w="1080" w:type="dxa"/>
            <w:tcBorders>
              <w:top w:val="double" w:sz="4" w:space="0" w:color="000000"/>
              <w:left w:val="single" w:sz="6" w:space="0" w:color="000000"/>
              <w:bottom w:val="single" w:sz="6" w:space="0" w:color="000000"/>
              <w:right w:val="single" w:sz="6" w:space="0" w:color="000000"/>
            </w:tcBorders>
          </w:tcPr>
          <w:p>
            <w:pPr>
              <w:pStyle w:val="Normal"/>
              <w:jc w:val="center"/>
              <w:rPr>
                <w:b/>
                <w:b/>
              </w:rPr>
            </w:pPr>
            <w:r>
              <w:rPr>
                <w:b/>
              </w:rPr>
              <w:t>S (mV/mT)</w:t>
            </w:r>
          </w:p>
          <w:p>
            <w:pPr>
              <w:pStyle w:val="Normal"/>
              <w:jc w:val="center"/>
              <w:rPr>
                <w:b/>
                <w:b/>
              </w:rPr>
            </w:pPr>
            <w:r>
              <w:rPr>
                <w:b/>
              </w:rPr>
              <w:t>panta</w:t>
            </w:r>
          </w:p>
        </w:tc>
        <w:tc>
          <w:tcPr>
            <w:tcW w:w="1080" w:type="dxa"/>
            <w:tcBorders>
              <w:top w:val="double" w:sz="4" w:space="0" w:color="000000"/>
              <w:left w:val="single" w:sz="6" w:space="0" w:color="000000"/>
              <w:bottom w:val="single" w:sz="6" w:space="0" w:color="000000"/>
              <w:right w:val="single" w:sz="6" w:space="0" w:color="000000"/>
            </w:tcBorders>
            <w:vAlign w:val="center"/>
          </w:tcPr>
          <w:p>
            <w:pPr>
              <w:pStyle w:val="Normal"/>
              <w:jc w:val="center"/>
              <w:rPr/>
            </w:pPr>
            <w:r>
              <w:rPr>
                <w:b/>
              </w:rPr>
              <w:t>R</w:t>
            </w:r>
            <w:r>
              <w:rPr>
                <w:b/>
                <w:vertAlign w:val="subscript"/>
              </w:rPr>
              <w:t>H</w:t>
            </w:r>
          </w:p>
        </w:tc>
        <w:tc>
          <w:tcPr>
            <w:tcW w:w="1080" w:type="dxa"/>
            <w:tcBorders>
              <w:top w:val="double" w:sz="4" w:space="0" w:color="000000"/>
              <w:left w:val="single" w:sz="6" w:space="0" w:color="000000"/>
              <w:bottom w:val="single" w:sz="6" w:space="0" w:color="000000"/>
              <w:right w:val="single" w:sz="6" w:space="0" w:color="000000"/>
            </w:tcBorders>
          </w:tcPr>
          <w:p>
            <w:pPr>
              <w:pStyle w:val="Normal"/>
              <w:jc w:val="center"/>
              <w:rPr>
                <w:b/>
                <w:b/>
                <w:bCs/>
              </w:rPr>
            </w:pPr>
            <w:r>
              <w:rPr>
                <w:b/>
                <w:bCs/>
              </w:rPr>
              <w:t>n</w:t>
            </w:r>
          </w:p>
        </w:tc>
        <w:tc>
          <w:tcPr>
            <w:tcW w:w="1080" w:type="dxa"/>
            <w:tcBorders>
              <w:top w:val="double" w:sz="4" w:space="0" w:color="000000"/>
              <w:left w:val="single" w:sz="6" w:space="0" w:color="000000"/>
              <w:bottom w:val="single" w:sz="6" w:space="0" w:color="000000"/>
              <w:right w:val="single" w:sz="6" w:space="0" w:color="000000"/>
            </w:tcBorders>
          </w:tcPr>
          <w:p>
            <w:pPr>
              <w:pStyle w:val="Normal"/>
              <w:jc w:val="center"/>
              <w:rPr>
                <w:b/>
                <w:b/>
                <w:bCs/>
              </w:rPr>
            </w:pPr>
            <w:r>
              <w:rPr>
                <w:b/>
                <w:bCs/>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n</m:t>
                    </m:r>
                  </m:sub>
                </m:sSub>
              </m:oMath>
            </m:oMathPara>
          </w:p>
        </w:tc>
        <w:tc>
          <w:tcPr>
            <w:tcW w:w="1080" w:type="dxa"/>
            <w:tcBorders>
              <w:top w:val="double" w:sz="4" w:space="0" w:color="000000"/>
              <w:left w:val="single" w:sz="6" w:space="0" w:color="000000"/>
              <w:bottom w:val="single" w:sz="6" w:space="0" w:color="000000"/>
              <w:right w:val="double" w:sz="4" w:space="0" w:color="000000"/>
            </w:tcBorders>
          </w:tcPr>
          <w:p>
            <w:pPr>
              <w:pStyle w:val="Normal"/>
              <w:jc w:val="center"/>
              <w:rPr>
                <w:b/>
                <w:b/>
                <w:bCs/>
              </w:rPr>
            </w:pPr>
            <w:r>
              <w:rPr>
                <w:b/>
                <w:bCs/>
              </w:rPr>
            </w:r>
            <m:oMathPara xmlns:m="http://schemas.openxmlformats.org/officeDocument/2006/math">
              <m:oMathParaPr>
                <m:jc m:val="center"/>
              </m:oMathParaPr>
              <m:oMath>
                <m:r>
                  <w:rPr>
                    <w:rFonts w:ascii="Cambria Math" w:hAnsi="Cambria Math"/>
                  </w:rPr>
                  <m:t xml:space="preserve">ε</m:t>
                </m:r>
              </m:oMath>
            </m:oMathPara>
          </w:p>
        </w:tc>
      </w:tr>
      <w:tr>
        <w:trPr>
          <w:cantSplit w:val="true"/>
        </w:trPr>
        <w:tc>
          <w:tcPr>
            <w:tcW w:w="992" w:type="dxa"/>
            <w:tcBorders>
              <w:top w:val="single" w:sz="6" w:space="0" w:color="000000"/>
              <w:left w:val="double" w:sz="4" w:space="0" w:color="000000"/>
              <w:bottom w:val="single" w:sz="6" w:space="0" w:color="000000"/>
              <w:right w:val="single" w:sz="6" w:space="0" w:color="000000"/>
            </w:tcBorders>
            <w:vAlign w:val="center"/>
          </w:tcPr>
          <w:p>
            <w:pPr>
              <w:pStyle w:val="Normal"/>
              <w:jc w:val="center"/>
              <w:rPr>
                <w:bCs/>
              </w:rPr>
            </w:pPr>
            <w:r>
              <w:rPr>
                <w:bCs/>
              </w:rPr>
              <w:t>mA</w:t>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Cs/>
              </w:rPr>
            </w:pPr>
            <w:r>
              <w:rPr>
                <w:bCs/>
              </w:rPr>
              <w:t>A</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Cs/>
              </w:rPr>
            </w:pPr>
            <w:r>
              <w:rPr>
                <w:bCs/>
              </w:rPr>
              <w:t>m</w:t>
            </w:r>
            <w:r>
              <w:rPr>
                <w:bCs/>
              </w:rPr>
              <w:t>T</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Cs/>
              </w:rPr>
            </w:pPr>
            <w:r>
              <w:rPr>
                <w:bCs/>
              </w:rPr>
              <w:t>mV</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jc w:val="center"/>
              <w:rPr>
                <w:bCs/>
              </w:rPr>
            </w:pPr>
            <w:r>
              <w:rPr>
                <w:bCs/>
              </w:rPr>
            </w:r>
          </w:p>
        </w:tc>
        <w:tc>
          <w:tcPr>
            <w:tcW w:w="108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pPr>
            <w:r>
              <w:rPr>
                <w:bCs/>
              </w:rPr>
              <w:t>m</w:t>
            </w:r>
            <w:r>
              <w:rPr>
                <w:bCs/>
                <w:position w:val="6"/>
              </w:rPr>
              <w:t>3</w:t>
            </w:r>
            <w:r>
              <w:rPr>
                <w:bCs/>
              </w:rPr>
              <w:t>c</w:t>
            </w:r>
            <w:r>
              <w:rPr>
                <w:bCs/>
                <w:position w:val="6"/>
              </w:rPr>
              <w:t>-1</w:t>
            </w:r>
          </w:p>
        </w:tc>
        <w:tc>
          <w:tcPr>
            <w:tcW w:w="1080" w:type="dxa"/>
            <w:tcBorders>
              <w:top w:val="single" w:sz="6" w:space="0" w:color="000000"/>
              <w:left w:val="single" w:sz="6" w:space="0" w:color="000000"/>
              <w:bottom w:val="single" w:sz="6" w:space="0" w:color="000000"/>
              <w:right w:val="single" w:sz="6" w:space="0" w:color="000000"/>
            </w:tcBorders>
          </w:tcPr>
          <w:p>
            <w:pPr>
              <w:pStyle w:val="Normal"/>
              <w:jc w:val="center"/>
              <w:rPr/>
            </w:pPr>
            <w:r>
              <w:rPr>
                <w:bCs/>
              </w:rPr>
              <w:t>m</w:t>
            </w:r>
            <w:r>
              <w:rPr>
                <w:bCs/>
                <w:position w:val="6"/>
              </w:rPr>
              <w:t>-3</w:t>
            </w:r>
          </w:p>
        </w:tc>
        <w:tc>
          <w:tcPr>
            <w:tcW w:w="1080" w:type="dxa"/>
            <w:tcBorders>
              <w:top w:val="single" w:sz="6" w:space="0" w:color="000000"/>
              <w:left w:val="single" w:sz="6" w:space="0" w:color="000000"/>
              <w:bottom w:val="single" w:sz="6" w:space="0" w:color="000000"/>
              <w:right w:val="single" w:sz="6" w:space="0" w:color="000000"/>
            </w:tcBorders>
          </w:tcPr>
          <w:p>
            <w:pPr>
              <w:pStyle w:val="Normal"/>
              <w:jc w:val="center"/>
              <w:rPr/>
            </w:pPr>
            <w:r>
              <w:rPr>
                <w:bCs/>
              </w:rPr>
              <w:t>m</w:t>
            </w:r>
            <w:r>
              <w:rPr>
                <w:bCs/>
                <w:position w:val="6"/>
              </w:rPr>
              <w:t>-3</w:t>
            </w:r>
          </w:p>
        </w:tc>
        <w:tc>
          <w:tcPr>
            <w:tcW w:w="1080" w:type="dxa"/>
            <w:tcBorders>
              <w:top w:val="single" w:sz="6" w:space="0" w:color="000000"/>
              <w:left w:val="single" w:sz="6" w:space="0" w:color="000000"/>
              <w:bottom w:val="single" w:sz="6" w:space="0" w:color="000000"/>
              <w:right w:val="double" w:sz="4" w:space="0" w:color="000000"/>
            </w:tcBorders>
          </w:tcPr>
          <w:p>
            <w:pPr>
              <w:pStyle w:val="Normal"/>
              <w:jc w:val="center"/>
              <w:rPr>
                <w:bCs/>
              </w:rPr>
            </w:pPr>
            <w:r>
              <w:rPr>
                <w:bCs/>
              </w:rPr>
              <w:t>%</w:t>
            </w:r>
          </w:p>
        </w:tc>
      </w:tr>
      <w:tr>
        <w:trPr>
          <w:cantSplit w:val="true"/>
        </w:trPr>
        <w:tc>
          <w:tcPr>
            <w:tcW w:w="992" w:type="dxa"/>
            <w:vMerge w:val="restart"/>
            <w:tcBorders>
              <w:top w:val="single" w:sz="6" w:space="0" w:color="000000"/>
              <w:left w:val="double" w:sz="4" w:space="0" w:color="000000"/>
              <w:bottom w:val="single" w:sz="6" w:space="0" w:color="000000"/>
              <w:right w:val="single" w:sz="6" w:space="0" w:color="000000"/>
            </w:tcBorders>
            <w:vAlign w:val="center"/>
          </w:tcPr>
          <w:p>
            <w:pPr>
              <w:pStyle w:val="Normal"/>
              <w:jc w:val="center"/>
              <w:rPr>
                <w:b/>
                <w:b/>
              </w:rPr>
            </w:pPr>
            <w:r>
              <w:rPr>
                <w:b/>
              </w:rPr>
              <w:t>5</w:t>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2</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85</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6.55</w:t>
            </w:r>
          </w:p>
        </w:tc>
        <w:tc>
          <w:tcPr>
            <w:tcW w:w="1080" w:type="dxa"/>
            <w:vMerge w:val="restart"/>
            <w:tcBorders>
              <w:top w:val="single" w:sz="6" w:space="0" w:color="000000"/>
              <w:left w:val="single" w:sz="6" w:space="0" w:color="000000"/>
              <w:bottom w:val="single" w:sz="6" w:space="0" w:color="000000"/>
              <w:right w:val="single" w:sz="6" w:space="0" w:color="000000"/>
            </w:tcBorders>
          </w:tcPr>
          <w:p>
            <w:pPr>
              <w:pStyle w:val="Normal"/>
              <w:snapToGrid w:val="false"/>
              <w:jc w:val="center"/>
              <w:rPr>
                <w:b/>
                <w:b/>
              </w:rPr>
            </w:pPr>
            <w:r>
              <w:rPr>
                <w:b/>
              </w:rPr>
              <w:t>0.077</w:t>
            </w:r>
          </w:p>
        </w:tc>
        <w:tc>
          <w:tcPr>
            <w:tcW w:w="1080" w:type="dxa"/>
            <w:vMerge w:val="restart"/>
            <w:tcBorders>
              <w:top w:val="single" w:sz="6" w:space="0" w:color="000000"/>
              <w:left w:val="single" w:sz="6" w:space="0" w:color="000000"/>
              <w:bottom w:val="single" w:sz="6" w:space="0" w:color="000000"/>
              <w:right w:val="double" w:sz="4" w:space="0" w:color="000000"/>
            </w:tcBorders>
          </w:tcPr>
          <w:p>
            <w:pPr>
              <w:pStyle w:val="Normal"/>
              <w:snapToGrid w:val="false"/>
              <w:jc w:val="center"/>
              <w:rPr>
                <w:b/>
                <w:b/>
              </w:rPr>
            </w:pPr>
            <w:r>
              <w:rPr>
                <w:b/>
              </w:rPr>
              <w:t>1.54*10</w:t>
            </w:r>
            <w:r>
              <w:rPr>
                <w:b/>
                <w:vertAlign w:val="superscript"/>
              </w:rPr>
              <w:t>-6</w:t>
            </w:r>
          </w:p>
        </w:tc>
        <w:tc>
          <w:tcPr>
            <w:tcW w:w="1080" w:type="dxa"/>
            <w:vMerge w:val="restart"/>
            <w:tcBorders>
              <w:top w:val="single" w:sz="6" w:space="0" w:color="000000"/>
              <w:left w:val="single" w:sz="6" w:space="0" w:color="000000"/>
              <w:bottom w:val="single" w:sz="6" w:space="0" w:color="000000"/>
              <w:right w:val="single" w:sz="6" w:space="0" w:color="000000"/>
            </w:tcBorders>
          </w:tcPr>
          <w:p>
            <w:pPr>
              <w:pStyle w:val="Normal"/>
              <w:snapToGrid w:val="false"/>
              <w:jc w:val="center"/>
              <w:rPr>
                <w:b/>
                <w:b/>
              </w:rPr>
            </w:pPr>
            <w:r>
              <w:rPr>
                <w:b/>
              </w:rPr>
              <w:t>3.887*10</w:t>
            </w:r>
            <w:r>
              <w:rPr>
                <w:b/>
                <w:vertAlign w:val="superscript"/>
              </w:rPr>
              <w:t>24</w:t>
            </w:r>
          </w:p>
        </w:tc>
        <w:tc>
          <w:tcPr>
            <w:tcW w:w="1080" w:type="dxa"/>
            <w:vMerge w:val="restart"/>
            <w:tcBorders>
              <w:top w:val="single" w:sz="6" w:space="0" w:color="000000"/>
              <w:left w:val="single" w:sz="6" w:space="0" w:color="000000"/>
              <w:bottom w:val="single" w:sz="6" w:space="0" w:color="000000"/>
              <w:right w:val="single" w:sz="6" w:space="0" w:color="000000"/>
            </w:tcBorders>
          </w:tcPr>
          <w:p>
            <w:pPr>
              <w:pStyle w:val="Normal"/>
              <w:snapToGrid w:val="false"/>
              <w:jc w:val="center"/>
              <w:rPr>
                <w:b/>
                <w:b/>
              </w:rPr>
            </w:pPr>
            <w:r>
              <w:rPr>
                <w:b/>
              </w:rPr>
              <w:t>0.025*10</w:t>
            </w:r>
            <w:r>
              <w:rPr>
                <w:b/>
                <w:vertAlign w:val="superscript"/>
              </w:rPr>
              <w:t>24</w:t>
            </w:r>
          </w:p>
        </w:tc>
        <w:tc>
          <w:tcPr>
            <w:tcW w:w="1080" w:type="dxa"/>
            <w:vMerge w:val="restart"/>
            <w:tcBorders>
              <w:top w:val="single" w:sz="6" w:space="0" w:color="000000"/>
              <w:left w:val="single" w:sz="6" w:space="0" w:color="000000"/>
              <w:bottom w:val="single" w:sz="6" w:space="0" w:color="000000"/>
              <w:right w:val="double" w:sz="4" w:space="0" w:color="000000"/>
            </w:tcBorders>
          </w:tcPr>
          <w:p>
            <w:pPr>
              <w:pStyle w:val="Normal"/>
              <w:snapToGrid w:val="false"/>
              <w:jc w:val="center"/>
              <w:rPr>
                <w:b/>
                <w:b/>
              </w:rPr>
            </w:pPr>
            <w:r>
              <w:rPr>
                <w:b/>
              </w:rPr>
              <w:t>4.21</w:t>
            </w:r>
          </w:p>
        </w:tc>
      </w:tr>
      <w:tr>
        <w:trPr>
          <w:cantSplit w:val="true"/>
        </w:trPr>
        <w:tc>
          <w:tcPr>
            <w:tcW w:w="99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rPr/>
            </w:pPr>
            <w:r>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2.25</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92</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7.65</w:t>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left w:val="single" w:sz="6" w:space="0" w:color="000000"/>
              <w:bottom w:val="single" w:sz="6" w:space="0" w:color="000000"/>
              <w:right w:val="double" w:sz="4" w:space="0" w:color="000000"/>
            </w:tcBorders>
            <w:vAlign w:val="center"/>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double" w:sz="4" w:space="0" w:color="000000"/>
            </w:tcBorders>
          </w:tcPr>
          <w:p>
            <w:pPr>
              <w:pStyle w:val="Normal"/>
              <w:rPr/>
            </w:pPr>
            <w:r>
              <w:rPr/>
            </w:r>
          </w:p>
        </w:tc>
      </w:tr>
      <w:tr>
        <w:trPr>
          <w:cantSplit w:val="true"/>
        </w:trPr>
        <w:tc>
          <w:tcPr>
            <w:tcW w:w="99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rPr/>
            </w:pPr>
            <w:r>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2.5</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w:t>
            </w:r>
            <w:r>
              <w:rPr>
                <w:b/>
              </w:rPr>
              <w:t>05</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8.25</w:t>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left w:val="single" w:sz="6" w:space="0" w:color="000000"/>
              <w:bottom w:val="single" w:sz="6" w:space="0" w:color="000000"/>
              <w:right w:val="double" w:sz="4" w:space="0" w:color="000000"/>
            </w:tcBorders>
            <w:vAlign w:val="center"/>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double" w:sz="4" w:space="0" w:color="000000"/>
            </w:tcBorders>
          </w:tcPr>
          <w:p>
            <w:pPr>
              <w:pStyle w:val="Normal"/>
              <w:rPr/>
            </w:pPr>
            <w:r>
              <w:rPr/>
            </w:r>
          </w:p>
        </w:tc>
      </w:tr>
      <w:tr>
        <w:trPr>
          <w:cantSplit w:val="true"/>
        </w:trPr>
        <w:tc>
          <w:tcPr>
            <w:tcW w:w="99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rPr/>
            </w:pPr>
            <w:r>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2.75</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115</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9.3</w:t>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left w:val="single" w:sz="6" w:space="0" w:color="000000"/>
              <w:bottom w:val="single" w:sz="6" w:space="0" w:color="000000"/>
              <w:right w:val="double" w:sz="4" w:space="0" w:color="000000"/>
            </w:tcBorders>
            <w:vAlign w:val="center"/>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double" w:sz="4" w:space="0" w:color="000000"/>
            </w:tcBorders>
          </w:tcPr>
          <w:p>
            <w:pPr>
              <w:pStyle w:val="Normal"/>
              <w:rPr/>
            </w:pPr>
            <w:r>
              <w:rPr/>
            </w:r>
          </w:p>
        </w:tc>
      </w:tr>
      <w:tr>
        <w:trPr>
          <w:cantSplit w:val="true"/>
        </w:trPr>
        <w:tc>
          <w:tcPr>
            <w:tcW w:w="99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rPr/>
            </w:pPr>
            <w:r>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3</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126</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10.15</w:t>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left w:val="single" w:sz="6" w:space="0" w:color="000000"/>
              <w:bottom w:val="single" w:sz="6" w:space="0" w:color="000000"/>
              <w:right w:val="double" w:sz="4" w:space="0" w:color="000000"/>
            </w:tcBorders>
            <w:vAlign w:val="center"/>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double" w:sz="4" w:space="0" w:color="000000"/>
            </w:tcBorders>
          </w:tcPr>
          <w:p>
            <w:pPr>
              <w:pStyle w:val="Normal"/>
              <w:rPr/>
            </w:pPr>
            <w:r>
              <w:rPr/>
            </w:r>
          </w:p>
        </w:tc>
      </w:tr>
      <w:tr>
        <w:trPr>
          <w:cantSplit w:val="true"/>
        </w:trPr>
        <w:tc>
          <w:tcPr>
            <w:tcW w:w="99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rPr/>
            </w:pPr>
            <w:r>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3.25</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136</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10.95</w:t>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left w:val="single" w:sz="6" w:space="0" w:color="000000"/>
              <w:bottom w:val="single" w:sz="6" w:space="0" w:color="000000"/>
              <w:right w:val="double" w:sz="4" w:space="0" w:color="000000"/>
            </w:tcBorders>
            <w:vAlign w:val="center"/>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double" w:sz="4" w:space="0" w:color="000000"/>
            </w:tcBorders>
          </w:tcPr>
          <w:p>
            <w:pPr>
              <w:pStyle w:val="Normal"/>
              <w:rPr/>
            </w:pPr>
            <w:r>
              <w:rPr/>
            </w:r>
          </w:p>
        </w:tc>
      </w:tr>
      <w:tr>
        <w:trPr>
          <w:cantSplit w:val="true"/>
        </w:trPr>
        <w:tc>
          <w:tcPr>
            <w:tcW w:w="99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rPr/>
            </w:pPr>
            <w:r>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3.5</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146</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11.6</w:t>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left w:val="single" w:sz="6" w:space="0" w:color="000000"/>
              <w:bottom w:val="single" w:sz="6" w:space="0" w:color="000000"/>
              <w:right w:val="double" w:sz="4" w:space="0" w:color="000000"/>
            </w:tcBorders>
            <w:vAlign w:val="center"/>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double" w:sz="4" w:space="0" w:color="000000"/>
            </w:tcBorders>
          </w:tcPr>
          <w:p>
            <w:pPr>
              <w:pStyle w:val="Normal"/>
              <w:rPr/>
            </w:pPr>
            <w:r>
              <w:rPr/>
            </w:r>
          </w:p>
        </w:tc>
      </w:tr>
      <w:tr>
        <w:trPr>
          <w:cantSplit w:val="true"/>
        </w:trPr>
        <w:tc>
          <w:tcPr>
            <w:tcW w:w="99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rPr/>
            </w:pPr>
            <w:r>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3.75</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155</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12.2</w:t>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left w:val="single" w:sz="6" w:space="0" w:color="000000"/>
              <w:bottom w:val="single" w:sz="6" w:space="0" w:color="000000"/>
              <w:right w:val="double" w:sz="4" w:space="0" w:color="000000"/>
            </w:tcBorders>
            <w:vAlign w:val="center"/>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double" w:sz="4" w:space="0" w:color="000000"/>
            </w:tcBorders>
          </w:tcPr>
          <w:p>
            <w:pPr>
              <w:pStyle w:val="Normal"/>
              <w:rPr/>
            </w:pPr>
            <w:r>
              <w:rPr/>
            </w:r>
          </w:p>
        </w:tc>
      </w:tr>
      <w:tr>
        <w:trPr>
          <w:cantSplit w:val="true"/>
        </w:trPr>
        <w:tc>
          <w:tcPr>
            <w:tcW w:w="99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rPr/>
            </w:pPr>
            <w:r>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4</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166</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13</w:t>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left w:val="single" w:sz="6" w:space="0" w:color="000000"/>
              <w:bottom w:val="single" w:sz="6" w:space="0" w:color="000000"/>
              <w:right w:val="double" w:sz="4" w:space="0" w:color="000000"/>
            </w:tcBorders>
            <w:vAlign w:val="center"/>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double" w:sz="4" w:space="0" w:color="000000"/>
            </w:tcBorders>
          </w:tcPr>
          <w:p>
            <w:pPr>
              <w:pStyle w:val="Normal"/>
              <w:rPr/>
            </w:pPr>
            <w:r>
              <w:rPr/>
            </w:r>
          </w:p>
        </w:tc>
      </w:tr>
      <w:tr>
        <w:trPr>
          <w:cantSplit w:val="true"/>
        </w:trPr>
        <w:tc>
          <w:tcPr>
            <w:tcW w:w="992" w:type="dxa"/>
            <w:vMerge w:val="continue"/>
            <w:tcBorders>
              <w:top w:val="single" w:sz="6" w:space="0" w:color="000000"/>
              <w:left w:val="double" w:sz="4" w:space="0" w:color="000000"/>
              <w:bottom w:val="single" w:sz="6" w:space="0" w:color="000000"/>
              <w:right w:val="single" w:sz="6" w:space="0" w:color="000000"/>
            </w:tcBorders>
            <w:vAlign w:val="center"/>
          </w:tcPr>
          <w:p>
            <w:pPr>
              <w:pStyle w:val="Normal"/>
              <w:rPr/>
            </w:pPr>
            <w:r>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b/>
                <w:b/>
              </w:rPr>
            </w:pPr>
            <w:r>
              <w:rPr>
                <w:b/>
              </w:rPr>
              <w:t>4.25</w:t>
            </w:r>
          </w:p>
        </w:tc>
        <w:tc>
          <w:tcPr>
            <w:tcW w:w="1010"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175</w:t>
            </w:r>
          </w:p>
        </w:tc>
        <w:tc>
          <w:tcPr>
            <w:tcW w:w="1174" w:type="dxa"/>
            <w:tcBorders>
              <w:top w:val="single" w:sz="6" w:space="0" w:color="000000"/>
              <w:left w:val="single" w:sz="6" w:space="0" w:color="000000"/>
              <w:bottom w:val="single" w:sz="6" w:space="0" w:color="000000"/>
              <w:right w:val="single" w:sz="6" w:space="0" w:color="000000"/>
            </w:tcBorders>
            <w:vAlign w:val="center"/>
          </w:tcPr>
          <w:p>
            <w:pPr>
              <w:pStyle w:val="Normal"/>
              <w:snapToGrid w:val="false"/>
              <w:jc w:val="center"/>
              <w:rPr>
                <w:b/>
                <w:b/>
              </w:rPr>
            </w:pPr>
            <w:r>
              <w:rPr>
                <w:b/>
              </w:rPr>
              <w:t>13.55</w:t>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left w:val="single" w:sz="6" w:space="0" w:color="000000"/>
              <w:bottom w:val="single" w:sz="6" w:space="0" w:color="000000"/>
              <w:right w:val="double" w:sz="4" w:space="0" w:color="000000"/>
            </w:tcBorders>
            <w:vAlign w:val="center"/>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1080" w:type="dxa"/>
            <w:vMerge w:val="continue"/>
            <w:tcBorders>
              <w:top w:val="single" w:sz="6" w:space="0" w:color="000000"/>
              <w:left w:val="single" w:sz="6" w:space="0" w:color="000000"/>
              <w:bottom w:val="single" w:sz="6" w:space="0" w:color="000000"/>
              <w:right w:val="double" w:sz="4" w:space="0" w:color="000000"/>
            </w:tcBorders>
          </w:tcPr>
          <w:p>
            <w:pPr>
              <w:pStyle w:val="Normal"/>
              <w:rPr/>
            </w:pPr>
            <w:r>
              <w:rPr/>
            </w:r>
          </w:p>
        </w:tc>
      </w:tr>
    </w:tbl>
    <w:p>
      <w:pPr>
        <w:pStyle w:val="Normal"/>
        <w:rPr/>
      </w:pPr>
      <w:r>
        <w:rPr/>
        <w:drawing>
          <wp:anchor behindDoc="0" distT="0" distB="0" distL="0" distR="0" simplePos="0" locked="0" layoutInCell="0" allowOverlap="1" relativeHeight="21">
            <wp:simplePos x="0" y="0"/>
            <wp:positionH relativeFrom="column">
              <wp:posOffset>733425</wp:posOffset>
            </wp:positionH>
            <wp:positionV relativeFrom="paragraph">
              <wp:posOffset>251460</wp:posOffset>
            </wp:positionV>
            <wp:extent cx="4685665" cy="335216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4685665" cy="3352165"/>
                    </a:xfrm>
                    <a:prstGeom prst="rect">
                      <a:avLst/>
                    </a:prstGeom>
                  </pic:spPr>
                </pic:pic>
              </a:graphicData>
            </a:graphic>
          </wp:anchor>
        </w:drawing>
      </w:r>
    </w:p>
    <w:sectPr>
      <w:type w:val="nextPage"/>
      <w:pgSz w:w="12240" w:h="15840"/>
      <w:pgMar w:left="1418"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Times New Roman" w:cs="Times New Roman"/>
      <w:color w:val="auto"/>
      <w:sz w:val="24"/>
      <w:szCs w:val="20"/>
      <w:lang w:val="en-GB" w:bidi="ar-SA" w:eastAsia="zh-CN"/>
    </w:rPr>
  </w:style>
  <w:style w:type="paragraph" w:styleId="Heading2">
    <w:name w:val="Heading 2"/>
    <w:basedOn w:val="Normal"/>
    <w:next w:val="Normal"/>
    <w:qFormat/>
    <w:pPr>
      <w:keepNext w:val="true"/>
      <w:numPr>
        <w:ilvl w:val="1"/>
        <w:numId w:val="1"/>
      </w:numPr>
      <w:jc w:val="center"/>
      <w:outlineLvl w:val="1"/>
    </w:pPr>
    <w:rPr>
      <w:sz w:val="28"/>
    </w:rPr>
  </w:style>
  <w:style w:type="paragraph" w:styleId="Heading3">
    <w:name w:val="Heading 3"/>
    <w:basedOn w:val="Normal"/>
    <w:next w:val="Normal"/>
    <w:qFormat/>
    <w:pPr>
      <w:keepNext w:val="true"/>
      <w:numPr>
        <w:ilvl w:val="2"/>
        <w:numId w:val="1"/>
      </w:numPr>
      <w:jc w:val="center"/>
      <w:outlineLvl w:val="2"/>
    </w:pPr>
    <w:rPr>
      <w:b/>
    </w:rPr>
  </w:style>
  <w:style w:type="paragraph" w:styleId="Heading4">
    <w:name w:val="Heading 4"/>
    <w:basedOn w:val="Normal"/>
    <w:next w:val="Normal"/>
    <w:qFormat/>
    <w:pPr>
      <w:keepNext w:val="true"/>
      <w:numPr>
        <w:ilvl w:val="3"/>
        <w:numId w:val="1"/>
      </w:numPr>
      <w:outlineLvl w:val="3"/>
    </w:pPr>
    <w:rPr>
      <w:b/>
      <w:lang w:val="ro-RO"/>
    </w:rPr>
  </w:style>
  <w:style w:type="character" w:styleId="DefaultParagraphFont">
    <w:name w:val="Default Paragraph Font"/>
    <w:qFormat/>
    <w:rPr/>
  </w:style>
  <w:style w:type="character" w:styleId="InternetLink">
    <w:name w:val="Hyperlink"/>
    <w:rPr>
      <w:color w:val="0000FF"/>
      <w:u w:val="single"/>
    </w:rPr>
  </w:style>
  <w:style w:type="paragraph" w:styleId="Heading">
    <w:name w:val="Heading"/>
    <w:basedOn w:val="Normal"/>
    <w:next w:val="TextBody"/>
    <w:qFormat/>
    <w:pPr>
      <w:jc w:val="center"/>
    </w:pPr>
    <w:rPr>
      <w:b/>
      <w:sz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43</TotalTime>
  <Application>LibreOffice/7.3.7.2$Linux_X86_64 LibreOffice_project/30$Build-2</Application>
  <AppVersion>15.0000</AppVersion>
  <Pages>3</Pages>
  <Words>633</Words>
  <Characters>3315</Characters>
  <CharactersWithSpaces>3920</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2020-10-29T23:29:00Z</dcterms:created>
  <dc:creator/>
  <dc:description/>
  <cp:keywords/>
  <dc:language>en-US</dc:language>
  <cp:lastModifiedBy/>
  <dcterms:modified xsi:type="dcterms:W3CDTF">2026-01-07T02:50:10Z</dcterms:modified>
  <cp:revision>11</cp:revision>
  <dc:subject/>
  <dc:title>STUDIUL EFECTULUI  HALL</dc:title>
</cp:coreProperties>
</file>