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embeddings/oleObject1.bin" ContentType="application/vnd.openxmlformats-officedocument.oleObject"/>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sz w:val="28"/>
        </w:rPr>
      </w:pPr>
      <w:r>
        <w:rPr>
          <w:sz w:val="28"/>
        </w:rPr>
      </w:r>
    </w:p>
    <w:p>
      <w:pPr>
        <w:pStyle w:val="Heading"/>
        <w:rPr>
          <w:sz w:val="28"/>
        </w:rPr>
      </w:pPr>
      <w:r>
        <w:rPr>
          <w:sz w:val="28"/>
        </w:rPr>
        <w:t>Termorezistorul</w:t>
      </w:r>
    </w:p>
    <w:p>
      <w:pPr>
        <w:pStyle w:val="Normal"/>
        <w:jc w:val="center"/>
        <w:rPr>
          <w:rFonts w:ascii="Arial" w:hAnsi="Arial" w:cs="Arial"/>
          <w:sz w:val="24"/>
        </w:rPr>
      </w:pPr>
      <w:r>
        <w:rPr>
          <w:rFonts w:cs="Arial" w:ascii="Arial" w:hAnsi="Arial"/>
          <w:sz w:val="24"/>
        </w:rPr>
      </w:r>
    </w:p>
    <w:p>
      <w:pPr>
        <w:pStyle w:val="Subtitle"/>
        <w:rPr/>
      </w:pPr>
      <w:r>
        <w:rPr/>
        <w:t>Consideraţii teoretice</w:t>
      </w:r>
    </w:p>
    <w:p>
      <w:pPr>
        <w:pStyle w:val="Normal"/>
        <w:jc w:val="both"/>
        <w:rPr>
          <w:rFonts w:ascii="Arial" w:hAnsi="Arial" w:cs="Arial"/>
          <w:sz w:val="24"/>
        </w:rPr>
      </w:pPr>
      <w:r>
        <w:rPr>
          <w:rFonts w:cs="Arial" w:ascii="Arial" w:hAnsi="Arial"/>
          <w:sz w:val="24"/>
        </w:rPr>
        <w:t xml:space="preserve">Termorezistoarele funcţionează pe baza creşterii rezistivităţii odată cu creşterea temperaturii. </w:t>
      </w:r>
    </w:p>
    <w:p>
      <w:pPr>
        <w:pStyle w:val="Normal"/>
        <w:jc w:val="both"/>
        <w:rPr>
          <w:rFonts w:ascii="Arial" w:hAnsi="Arial" w:cs="Arial"/>
          <w:sz w:val="24"/>
        </w:rPr>
      </w:pPr>
      <w:r>
        <w:rPr>
          <w:rFonts w:cs="Arial" w:ascii="Arial" w:hAnsi="Arial"/>
          <w:sz w:val="24"/>
        </w:rPr>
      </w:r>
    </w:p>
    <w:p>
      <w:pPr>
        <w:pStyle w:val="Normal"/>
        <w:jc w:val="both"/>
        <w:rPr/>
      </w:pPr>
      <w:r>
        <w:rPr>
          <w:rFonts w:cs="Arial" w:ascii="Arial" w:hAnsi="Arial"/>
          <w:sz w:val="24"/>
        </w:rPr>
        <w:t xml:space="preserve">Modelul electronilor liberi, presupune că electronii de valenţă ai metalelor sunt colectivizaţi şi se comportă ca un gaz perfect. În absenţa unor câmpuri electrice sau magnetice electronii liberi se mişcă haotic, cu aceeaşi probabilitate după orice direcţie din spaţiu. Sub acţiunea unui câmp electric constant  </w:t>
      </w:r>
      <w:r>
        <w:rPr>
          <w:rFonts w:cs="Arial" w:ascii="Arial" w:hAnsi="Arial"/>
          <w:sz w:val="24"/>
        </w:rPr>
      </w:r>
      <m:oMath xmlns:m="http://schemas.openxmlformats.org/officeDocument/2006/math">
        <m:acc>
          <m:accPr>
            <m:chr m:val="⃗"/>
          </m:accPr>
          <m:e>
            <m:r>
              <w:rPr>
                <w:rFonts w:ascii="Cambria Math" w:hAnsi="Cambria Math"/>
              </w:rPr>
              <m:t xml:space="preserve">E</m:t>
            </m:r>
          </m:e>
        </m:acc>
      </m:oMath>
      <w:r>
        <w:rPr>
          <w:rFonts w:cs="Arial" w:ascii="Arial" w:hAnsi="Arial"/>
          <w:sz w:val="24"/>
        </w:rPr>
        <w:t xml:space="preserve"> după o direcţie dată, apare o componentă de mişcare a tuturor electronilor  dirijată după această direcţie, suprapusă peste mişcarea haotică termică. In mişcarea lor, electronii se ciocnesc cu impurităţile, defectele de reţea sau fononii. Conform modelului clasic (Drude) conductibilitatea electrică are valoarea :</w:t>
      </w:r>
    </w:p>
    <w:p>
      <w:pPr>
        <w:pStyle w:val="Normal"/>
        <w:jc w:val="both"/>
        <w:rPr/>
      </w:pPr>
      <w:r>
        <w:rPr>
          <w:rFonts w:cs="Arial" w:ascii="Arial" w:hAnsi="Arial"/>
          <w:sz w:val="24"/>
        </w:rPr>
        <w:tab/>
        <w:tab/>
        <w:tab/>
        <w:tab/>
      </w:r>
      <w:r>
        <w:rPr>
          <w:rFonts w:cs="Arial" w:ascii="Arial" w:hAnsi="Arial"/>
          <w:sz w:val="24"/>
        </w:rPr>
      </w:r>
      <m:oMath xmlns:m="http://schemas.openxmlformats.org/officeDocument/2006/math">
        <m:r>
          <w:rPr>
            <w:rFonts w:ascii="Cambria Math" w:hAnsi="Cambria Math"/>
          </w:rPr>
          <m:t xml:space="preserve">σ</m:t>
        </m:r>
        <m:r>
          <w:rPr>
            <w:rFonts w:ascii="Cambria Math" w:hAnsi="Cambria Math"/>
          </w:rPr>
          <m:t xml:space="preserve">=</m:t>
        </m:r>
        <m:f>
          <m:num>
            <m:r>
              <w:rPr>
                <w:rFonts w:ascii="Cambria Math" w:hAnsi="Cambria Math"/>
              </w:rPr>
              <m:t xml:space="preserve">1</m:t>
            </m:r>
          </m:num>
          <m:den>
            <m:r>
              <w:rPr>
                <w:rFonts w:ascii="Cambria Math" w:hAnsi="Cambria Math"/>
              </w:rPr>
              <m:t xml:space="preserve">ρ</m:t>
            </m:r>
          </m:den>
        </m:f>
        <m:r>
          <w:rPr>
            <w:rFonts w:ascii="Cambria Math" w:hAnsi="Cambria Math"/>
          </w:rPr>
          <m:t xml:space="preserve">=</m:t>
        </m:r>
        <m:f>
          <m:num>
            <m:sSup>
              <m:e>
                <m:r>
                  <m:rPr>
                    <m:lit/>
                    <m:nor/>
                  </m:rPr>
                  <w:rPr>
                    <w:rFonts w:ascii="Cambria Math" w:hAnsi="Cambria Math"/>
                  </w:rPr>
                  <m:t xml:space="preserve">ne</m:t>
                </m:r>
              </m:e>
              <m:sup>
                <m:r>
                  <w:rPr>
                    <w:rFonts w:ascii="Cambria Math" w:hAnsi="Cambria Math"/>
                  </w:rPr>
                  <m:t xml:space="preserve">2</m:t>
                </m:r>
              </m:sup>
            </m:sSup>
            <m:r>
              <w:rPr>
                <w:rFonts w:ascii="Cambria Math" w:hAnsi="Cambria Math"/>
              </w:rPr>
              <m:t xml:space="preserve">τ</m:t>
            </m:r>
          </m:num>
          <m:den>
            <m:sSup>
              <m:e>
                <m:r>
                  <w:rPr>
                    <w:rFonts w:ascii="Cambria Math" w:hAnsi="Cambria Math"/>
                  </w:rPr>
                  <m:t xml:space="preserve">m</m:t>
                </m:r>
              </m:e>
              <m:sup/>
            </m:sSup>
          </m:den>
        </m:f>
        <m:r>
          <w:rPr>
            <w:rFonts w:ascii="Cambria Math" w:hAnsi="Cambria Math"/>
          </w:rPr>
          <m:t xml:space="preserve">=</m:t>
        </m:r>
        <m:r>
          <m:rPr>
            <m:lit/>
            <m:nor/>
          </m:rPr>
          <w:rPr>
            <w:rFonts w:ascii="Cambria Math" w:hAnsi="Cambria Math"/>
          </w:rPr>
          <m:t xml:space="preserve">ne</m:t>
        </m:r>
        <m:r>
          <w:rPr>
            <w:rFonts w:ascii="Cambria Math" w:hAnsi="Cambria Math"/>
          </w:rPr>
          <m:t xml:space="preserve">μ</m:t>
        </m:r>
      </m:oMath>
      <w:r>
        <w:rPr>
          <w:rFonts w:cs="Arial" w:ascii="Arial" w:hAnsi="Arial"/>
          <w:sz w:val="24"/>
        </w:rPr>
        <w:tab/>
        <w:tab/>
        <w:tab/>
        <w:tab/>
        <w:t>(1)</w:t>
      </w:r>
    </w:p>
    <w:p>
      <w:pPr>
        <w:pStyle w:val="Normal"/>
        <w:jc w:val="both"/>
        <w:rPr/>
      </w:pPr>
      <w:r>
        <w:rPr>
          <w:rFonts w:cs="Arial" w:ascii="Arial" w:hAnsi="Arial"/>
          <w:sz w:val="24"/>
        </w:rPr>
        <w:t>unde n este concentraţia electronilor,  m</w:t>
      </w:r>
      <w:r>
        <w:rPr>
          <w:rFonts w:cs="Arial" w:ascii="Arial" w:hAnsi="Arial"/>
          <w:sz w:val="24"/>
          <w:vertAlign w:val="superscript"/>
        </w:rPr>
        <w:t>*</w:t>
      </w:r>
      <w:r>
        <w:rPr>
          <w:rFonts w:cs="Arial" w:ascii="Arial" w:hAnsi="Arial"/>
          <w:sz w:val="24"/>
        </w:rPr>
        <w:t xml:space="preserve">  masa efectivă a electronilor, </w:t>
      </w:r>
      <w:r>
        <w:rPr>
          <w:rFonts w:cs="Arial" w:ascii="Arial" w:hAnsi="Arial"/>
          <w:sz w:val="24"/>
        </w:rPr>
      </w:r>
      <m:oMath xmlns:m="http://schemas.openxmlformats.org/officeDocument/2006/math">
        <m:r>
          <w:rPr>
            <w:rFonts w:ascii="Cambria Math" w:hAnsi="Cambria Math"/>
          </w:rPr>
          <m:t xml:space="preserve">τ</m:t>
        </m:r>
      </m:oMath>
      <w:r>
        <w:rPr>
          <w:rFonts w:cs="Arial" w:ascii="Arial" w:hAnsi="Arial"/>
          <w:sz w:val="24"/>
        </w:rPr>
        <w:t xml:space="preserve"> timpul de relaxare (timpul dintre două interacţii consecutive ), e sarcina electronilor, iar </w:t>
      </w:r>
      <w:r>
        <w:rPr>
          <w:rFonts w:cs="Arial" w:ascii="Arial" w:hAnsi="Arial"/>
          <w:sz w:val="24"/>
        </w:rPr>
      </w:r>
      <m:oMath xmlns:m="http://schemas.openxmlformats.org/officeDocument/2006/math">
        <m:r>
          <w:rPr>
            <w:rFonts w:ascii="Cambria Math" w:hAnsi="Cambria Math"/>
          </w:rPr>
          <m:t xml:space="preserve">μ</m:t>
        </m:r>
      </m:oMath>
      <w:r>
        <w:rPr>
          <w:rFonts w:cs="Arial" w:ascii="Arial" w:hAnsi="Arial"/>
          <w:sz w:val="24"/>
        </w:rPr>
        <w:t xml:space="preserve"> mobilitatea lor. Se </w:t>
      </w:r>
      <w:r>
        <w:rPr>
          <w:sz w:val="24"/>
        </w:rPr>
        <w:t>ş</w:t>
      </w:r>
      <w:r>
        <w:rPr>
          <w:rFonts w:cs="Arial" w:ascii="Arial" w:hAnsi="Arial"/>
          <w:sz w:val="24"/>
        </w:rPr>
        <w:t xml:space="preserve">tie </w:t>
      </w:r>
    </w:p>
    <w:p>
      <w:pPr>
        <w:pStyle w:val="Normal"/>
        <w:jc w:val="both"/>
        <w:rPr/>
      </w:pPr>
      <w:r>
        <w:rPr>
          <w:rFonts w:cs="Arial" w:ascii="Arial" w:hAnsi="Arial"/>
          <w:sz w:val="24"/>
        </w:rPr>
        <w:tab/>
        <w:tab/>
        <w:tab/>
        <w:tab/>
      </w:r>
      <w:r>
        <w:rPr>
          <w:rFonts w:cs="Arial" w:ascii="Arial" w:hAnsi="Arial"/>
          <w:sz w:val="24"/>
        </w:rPr>
      </w:r>
      <m:oMath xmlns:m="http://schemas.openxmlformats.org/officeDocument/2006/math">
        <m:r>
          <w:rPr>
            <w:rFonts w:ascii="Cambria Math" w:hAnsi="Cambria Math"/>
          </w:rPr>
          <m:t xml:space="preserve">σ</m:t>
        </m:r>
        <m:r>
          <w:rPr>
            <w:rFonts w:ascii="Cambria Math" w:hAnsi="Cambria Math"/>
          </w:rPr>
          <m:t xml:space="preserve">=</m:t>
        </m:r>
        <m:f>
          <m:num>
            <m:r>
              <w:rPr>
                <w:rFonts w:ascii="Cambria Math" w:hAnsi="Cambria Math"/>
              </w:rPr>
              <m:t xml:space="preserve">1</m:t>
            </m:r>
          </m:num>
          <m:den>
            <m:r>
              <w:rPr>
                <w:rFonts w:ascii="Cambria Math" w:hAnsi="Cambria Math"/>
              </w:rPr>
              <m:t xml:space="preserve">ρ</m:t>
            </m:r>
          </m:den>
        </m:f>
        <m:r>
          <w:rPr>
            <w:rFonts w:ascii="Cambria Math" w:hAnsi="Cambria Math"/>
          </w:rPr>
          <m:t xml:space="preserve">=</m:t>
        </m:r>
        <m:f>
          <m:num>
            <m:r>
              <w:rPr>
                <w:rFonts w:ascii="Cambria Math" w:hAnsi="Cambria Math"/>
              </w:rPr>
              <m:t xml:space="preserve">ℓ</m:t>
            </m:r>
          </m:num>
          <m:den>
            <m:r>
              <m:rPr>
                <m:lit/>
                <m:nor/>
              </m:rPr>
              <w:rPr>
                <w:rFonts w:ascii="Cambria Math" w:hAnsi="Cambria Math"/>
              </w:rPr>
              <m:t xml:space="preserve">RS</m:t>
            </m:r>
          </m:den>
        </m:f>
      </m:oMath>
      <w:r>
        <w:rPr>
          <w:rFonts w:cs="Arial" w:ascii="Arial" w:hAnsi="Arial"/>
          <w:sz w:val="24"/>
        </w:rPr>
        <w:tab/>
        <w:tab/>
        <w:tab/>
        <w:tab/>
        <w:tab/>
        <w:t>(2)</w:t>
      </w:r>
    </w:p>
    <w:p>
      <w:pPr>
        <w:pStyle w:val="Normal"/>
        <w:jc w:val="both"/>
        <w:rPr/>
      </w:pPr>
      <w:r>
        <w:rPr>
          <w:rFonts w:cs="Arial" w:ascii="Arial" w:hAnsi="Arial"/>
          <w:sz w:val="24"/>
        </w:rPr>
        <w:t xml:space="preserve">unde </w:t>
      </w:r>
      <w:r>
        <w:rPr>
          <w:rFonts w:cs="Arial" w:ascii="Arial" w:hAnsi="Arial"/>
          <w:sz w:val="24"/>
        </w:rPr>
      </w:r>
      <m:oMath xmlns:m="http://schemas.openxmlformats.org/officeDocument/2006/math">
        <m:r>
          <w:rPr>
            <w:rFonts w:ascii="Cambria Math" w:hAnsi="Cambria Math"/>
          </w:rPr>
          <m:t xml:space="preserve">ρ</m:t>
        </m:r>
      </m:oMath>
      <w:r>
        <w:rPr>
          <w:rFonts w:cs="Arial" w:ascii="Arial" w:hAnsi="Arial"/>
          <w:sz w:val="24"/>
        </w:rPr>
        <w:t xml:space="preserve"> reprezintă rezistivitatea conductorului, ℓ şi S dimensiunile geometrice ale acestuia respectiv lungimea şi secţiunea iar R este rezistenta electrică. In cazul metalelor, concentraţia electronilor rămâne practic constantă cu creşterea temperaturii, creşterea rezistivităţii este determinată de scăderea mobilităţii purtătorilor, ca rezultat al creşterii împrăştierii electronilor de către vibraţiile reţelei cristaline (cvasiparticule numite fononi). Rezistivitatea unui metal conţinând atomi de impurităţi are forma :</w:t>
      </w:r>
    </w:p>
    <w:p>
      <w:pPr>
        <w:pStyle w:val="Normal"/>
        <w:jc w:val="both"/>
        <w:rPr/>
      </w:pPr>
      <w:r>
        <w:rPr>
          <w:rFonts w:cs="Arial" w:ascii="Arial" w:hAnsi="Arial"/>
          <w:sz w:val="24"/>
        </w:rPr>
        <w:tab/>
        <w:tab/>
        <w:tab/>
        <w:tab/>
      </w:r>
      <w:r>
        <w:rPr>
          <w:rFonts w:cs="Arial" w:ascii="Arial" w:hAnsi="Arial"/>
          <w:sz w:val="24"/>
        </w:rPr>
      </w:r>
      <m:oMath xmlns:m="http://schemas.openxmlformats.org/officeDocument/2006/math">
        <m:r>
          <w:rPr>
            <w:rFonts w:ascii="Cambria Math" w:hAnsi="Cambria Math"/>
          </w:rPr>
          <m:t xml:space="preserve">ρ</m:t>
        </m:r>
        <m:r>
          <w:rPr>
            <w:rFonts w:ascii="Cambria Math" w:hAnsi="Cambria Math"/>
          </w:rPr>
          <m:t xml:space="preserve">=</m:t>
        </m:r>
        <m:sSub>
          <m:e>
            <m:r>
              <w:rPr>
                <w:rFonts w:ascii="Cambria Math" w:hAnsi="Cambria Math"/>
              </w:rPr>
              <m:t xml:space="preserve">ρ</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i</m:t>
            </m:r>
          </m:sub>
        </m:sSub>
      </m:oMath>
      <w:r>
        <w:rPr>
          <w:rFonts w:cs="Arial" w:ascii="Arial" w:hAnsi="Arial"/>
          <w:sz w:val="24"/>
        </w:rPr>
        <w:tab/>
        <w:tab/>
        <w:tab/>
        <w:tab/>
        <w:tab/>
        <w:tab/>
        <w:t>(3)</w:t>
      </w:r>
    </w:p>
    <w:p>
      <w:pPr>
        <w:pStyle w:val="Normal"/>
        <w:jc w:val="both"/>
        <w:rPr/>
      </w:pPr>
      <w:r>
        <w:rPr>
          <w:rFonts w:cs="Arial" w:ascii="Arial" w:hAnsi="Arial"/>
          <w:sz w:val="24"/>
        </w:rPr>
        <w:t xml:space="preserve">unde </w:t>
      </w:r>
      <w:r>
        <w:rPr>
          <w:rFonts w:cs="Arial" w:ascii="Arial" w:hAnsi="Arial"/>
          <w:sz w:val="24"/>
        </w:rPr>
      </w:r>
      <m:oMath xmlns:m="http://schemas.openxmlformats.org/officeDocument/2006/math">
        <m:sSub>
          <m:e>
            <m:r>
              <w:rPr>
                <w:rFonts w:ascii="Cambria Math" w:hAnsi="Cambria Math"/>
              </w:rPr>
              <m:t xml:space="preserve">ρ</m:t>
            </m:r>
          </m:e>
          <m:sub>
            <m:r>
              <w:rPr>
                <w:rFonts w:ascii="Cambria Math" w:hAnsi="Cambria Math"/>
              </w:rPr>
              <m:t xml:space="preserve">t</m:t>
            </m:r>
          </m:sub>
        </m:sSub>
      </m:oMath>
      <w:r>
        <w:rPr>
          <w:rFonts w:cs="Arial" w:ascii="Arial" w:hAnsi="Arial"/>
          <w:sz w:val="24"/>
        </w:rPr>
        <w:t xml:space="preserve"> este contribuţia mişcării termice iar </w:t>
      </w:r>
      <w:r>
        <w:rPr>
          <w:rFonts w:cs="Arial" w:ascii="Arial" w:hAnsi="Arial"/>
          <w:sz w:val="24"/>
        </w:rPr>
      </w:r>
      <m:oMath xmlns:m="http://schemas.openxmlformats.org/officeDocument/2006/math">
        <m:sSub>
          <m:e>
            <m:r>
              <w:rPr>
                <w:rFonts w:ascii="Cambria Math" w:hAnsi="Cambria Math"/>
              </w:rPr>
              <m:t xml:space="preserve">ρ</m:t>
            </m:r>
          </m:e>
          <m:sub>
            <m:r>
              <w:rPr>
                <w:rFonts w:ascii="Cambria Math" w:hAnsi="Cambria Math"/>
              </w:rPr>
              <m:t xml:space="preserve">i</m:t>
            </m:r>
          </m:sub>
        </m:sSub>
      </m:oMath>
      <w:r>
        <w:rPr>
          <w:rFonts w:cs="Arial" w:ascii="Arial" w:hAnsi="Arial"/>
          <w:sz w:val="24"/>
        </w:rPr>
        <w:t xml:space="preserve"> este rezistivitatea cauzată de împrăştierea undelor asociate electronilor pe atomi de impurităţi, care perturbă periodicitatea reţelei. La zero absolut rezistenţa extrapolat</w:t>
      </w:r>
      <w:r>
        <w:rPr>
          <w:sz w:val="24"/>
        </w:rPr>
        <w:t>ă</w:t>
      </w:r>
      <w:r>
        <w:rPr>
          <w:rFonts w:cs="Arial" w:ascii="Arial" w:hAnsi="Arial"/>
          <w:sz w:val="24"/>
        </w:rPr>
        <w:t xml:space="preserve">, numită rezistenţă reziduală, este egală cu </w:t>
      </w:r>
      <w:r>
        <w:rPr>
          <w:rFonts w:cs="Arial" w:ascii="Arial" w:hAnsi="Arial"/>
          <w:sz w:val="24"/>
        </w:rPr>
      </w:r>
      <m:oMath xmlns:m="http://schemas.openxmlformats.org/officeDocument/2006/math">
        <m:sSub>
          <m:e>
            <m:r>
              <w:rPr>
                <w:rFonts w:ascii="Cambria Math" w:hAnsi="Cambria Math"/>
              </w:rPr>
              <m:t xml:space="preserve">ρ</m:t>
            </m:r>
          </m:e>
          <m:sub>
            <m:r>
              <w:rPr>
                <w:rFonts w:ascii="Cambria Math" w:hAnsi="Cambria Math"/>
              </w:rPr>
              <m:t xml:space="preserve">i</m:t>
            </m:r>
          </m:sub>
        </m:sSub>
      </m:oMath>
      <w:r>
        <w:rPr>
          <w:rFonts w:cs="Arial" w:ascii="Arial" w:hAnsi="Arial"/>
          <w:sz w:val="24"/>
        </w:rPr>
        <w:t xml:space="preserve"> pentru metalele şi aliajele ce nu trec în stare de supraconductibilitate. Aceasta este independentă de temperatură şi are valori de 10</w:t>
      </w:r>
      <w:r>
        <w:rPr>
          <w:rFonts w:cs="Arial" w:ascii="Arial" w:hAnsi="Arial"/>
          <w:sz w:val="24"/>
          <w:vertAlign w:val="superscript"/>
        </w:rPr>
        <w:t>5</w:t>
      </w:r>
      <w:r>
        <w:rPr>
          <w:rFonts w:cs="Arial" w:ascii="Arial" w:hAnsi="Arial"/>
          <w:sz w:val="24"/>
        </w:rPr>
        <w:t xml:space="preserve"> – 10</w:t>
      </w:r>
      <w:r>
        <w:rPr>
          <w:rFonts w:cs="Arial" w:ascii="Arial" w:hAnsi="Arial"/>
          <w:sz w:val="24"/>
          <w:vertAlign w:val="superscript"/>
        </w:rPr>
        <w:t>6</w:t>
      </w:r>
      <w:r>
        <w:rPr>
          <w:rFonts w:cs="Arial" w:ascii="Arial" w:hAnsi="Arial"/>
          <w:sz w:val="24"/>
        </w:rPr>
        <w:t xml:space="preserve"> ori mai mare ca </w:t>
      </w:r>
      <w:r>
        <w:rPr>
          <w:rFonts w:cs="Arial" w:ascii="Arial" w:hAnsi="Arial"/>
          <w:sz w:val="24"/>
        </w:rPr>
      </w:r>
      <m:oMath xmlns:m="http://schemas.openxmlformats.org/officeDocument/2006/math">
        <m:r>
          <w:rPr>
            <w:rFonts w:ascii="Cambria Math" w:hAnsi="Cambria Math"/>
          </w:rPr>
          <m:t xml:space="preserve">ρ</m:t>
        </m:r>
      </m:oMath>
      <w:r>
        <w:rPr>
          <w:rFonts w:cs="Arial" w:ascii="Arial" w:hAnsi="Arial"/>
          <w:sz w:val="24"/>
        </w:rPr>
        <w:t>la temperatura de 20</w:t>
      </w:r>
      <w:r>
        <w:rPr>
          <w:rFonts w:cs="Arial" w:ascii="Arial" w:hAnsi="Arial"/>
          <w:sz w:val="24"/>
          <w:vertAlign w:val="superscript"/>
        </w:rPr>
        <w:t>o</w:t>
      </w:r>
      <w:r>
        <w:rPr>
          <w:rFonts w:cs="Arial" w:ascii="Arial" w:hAnsi="Arial"/>
          <w:sz w:val="24"/>
        </w:rPr>
        <w:t>C, depinzând de puritatea metalului.</w:t>
      </w:r>
    </w:p>
    <w:p>
      <w:pPr>
        <w:pStyle w:val="Normal"/>
        <w:jc w:val="both"/>
        <w:rPr/>
      </w:pPr>
      <w:r>
        <w:rPr>
          <w:rFonts w:cs="Arial" w:ascii="Arial" w:hAnsi="Arial"/>
          <w:sz w:val="24"/>
        </w:rPr>
        <w:tab/>
        <w:t xml:space="preserve">Contribuţia reţelei sau a fononilor la rezistivitate depinde de temperatură. In metale simple </w:t>
      </w:r>
      <w:r>
        <w:rPr>
          <w:rFonts w:cs="Arial" w:ascii="Arial" w:hAnsi="Arial"/>
          <w:sz w:val="24"/>
        </w:rPr>
      </w:r>
      <m:oMath xmlns:m="http://schemas.openxmlformats.org/officeDocument/2006/math">
        <m:sSub>
          <m:e>
            <m:r>
              <w:rPr>
                <w:rFonts w:ascii="Cambria Math" w:hAnsi="Cambria Math"/>
              </w:rPr>
              <m:t xml:space="preserve">ρ</m:t>
            </m:r>
          </m:e>
          <m:sub>
            <m:r>
              <w:rPr>
                <w:rFonts w:ascii="Cambria Math" w:hAnsi="Cambria Math"/>
              </w:rPr>
              <m:t xml:space="preserve">t</m:t>
            </m:r>
          </m:sub>
        </m:sSub>
      </m:oMath>
      <w:r>
        <w:rPr>
          <w:rFonts w:cs="Arial" w:ascii="Arial" w:hAnsi="Arial"/>
          <w:sz w:val="24"/>
        </w:rPr>
        <w:t>este proporţional cu temperatura în afară de regiunea temperaturilor foarte joase. Proporţionalitatea cu T la temperaturi mai mari rezultă din faptul că probabilitatea împrăştierii electronilor este proporţională cu numărul de fononi.</w:t>
      </w:r>
    </w:p>
    <w:p>
      <w:pPr>
        <w:pStyle w:val="Normal"/>
        <w:jc w:val="both"/>
        <w:rPr/>
      </w:pPr>
      <w:r>
        <w:rPr>
          <w:rFonts w:cs="Arial" w:ascii="Arial" w:hAnsi="Arial"/>
          <w:sz w:val="24"/>
        </w:rPr>
        <w:tab/>
        <w:t>În domeniul temperaturilor înalte, variaţia rezistivităţii este caracterizat</w:t>
      </w:r>
      <w:r>
        <w:rPr>
          <w:sz w:val="24"/>
        </w:rPr>
        <w:t>ă</w:t>
      </w:r>
      <w:r>
        <w:rPr>
          <w:rFonts w:cs="Arial" w:ascii="Arial" w:hAnsi="Arial"/>
          <w:sz w:val="24"/>
        </w:rPr>
        <w:t xml:space="preserve"> de legea:</w:t>
      </w:r>
    </w:p>
    <w:p>
      <w:pPr>
        <w:pStyle w:val="Normal"/>
        <w:jc w:val="both"/>
        <w:rPr/>
      </w:pPr>
      <w:r>
        <w:rPr>
          <w:rFonts w:cs="Arial" w:ascii="Arial" w:hAnsi="Arial"/>
          <w:sz w:val="24"/>
        </w:rPr>
        <w:tab/>
        <w:tab/>
        <w:tab/>
        <w:tab/>
      </w:r>
      <w:r>
        <w:rPr>
          <w:rFonts w:cs="Arial" w:ascii="Arial" w:hAnsi="Arial"/>
          <w:sz w:val="24"/>
        </w:rPr>
      </w:r>
      <m:oMath xmlns:m="http://schemas.openxmlformats.org/officeDocument/2006/math">
        <m:r>
          <w:rPr>
            <w:rFonts w:ascii="Cambria Math" w:hAnsi="Cambria Math"/>
          </w:rPr>
          <m:t xml:space="preserve">Δρ</m:t>
        </m:r>
        <m:r>
          <w:rPr>
            <w:rFonts w:ascii="Cambria Math" w:hAnsi="Cambria Math"/>
          </w:rPr>
          <m:t xml:space="preserve">=</m:t>
        </m:r>
        <m:sSub>
          <m:e>
            <m:r>
              <m:rPr>
                <m:lit/>
                <m:nor/>
              </m:rPr>
              <w:rPr>
                <w:rFonts w:ascii="Cambria Math" w:hAnsi="Cambria Math"/>
              </w:rPr>
              <m:t xml:space="preserve">αρ</m:t>
            </m:r>
          </m:e>
          <m:sub>
            <m:r>
              <w:rPr>
                <w:rFonts w:ascii="Cambria Math" w:hAnsi="Cambria Math"/>
              </w:rPr>
              <m:t xml:space="preserve">o</m:t>
            </m:r>
          </m:sub>
        </m:sSub>
        <m:r>
          <w:rPr>
            <w:rFonts w:ascii="Cambria Math" w:hAnsi="Cambria Math"/>
          </w:rPr>
          <m:t xml:space="preserve">ΔT</m:t>
        </m:r>
      </m:oMath>
      <w:r>
        <w:rPr>
          <w:rFonts w:cs="Arial" w:ascii="Arial" w:hAnsi="Arial"/>
          <w:sz w:val="24"/>
        </w:rPr>
        <w:tab/>
        <w:tab/>
        <w:tab/>
        <w:tab/>
        <w:tab/>
        <w:t>(4)</w:t>
      </w:r>
    </w:p>
    <w:p>
      <w:pPr>
        <w:pStyle w:val="Normal"/>
        <w:jc w:val="both"/>
        <w:rPr>
          <w:rFonts w:ascii="Arial" w:hAnsi="Arial" w:cs="Arial"/>
          <w:sz w:val="24"/>
        </w:rPr>
      </w:pPr>
      <w:r>
        <w:rPr>
          <w:rFonts w:cs="Arial" w:ascii="Arial" w:hAnsi="Arial"/>
          <w:sz w:val="24"/>
        </w:rPr>
        <w:t>sau</w:t>
      </w:r>
    </w:p>
    <w:p>
      <w:pPr>
        <w:pStyle w:val="Normal"/>
        <w:ind w:left="1440" w:right="0" w:firstLine="720"/>
        <w:jc w:val="both"/>
        <w:rPr/>
      </w:pPr>
      <w:r>
        <w:rPr>
          <w:rFonts w:cs="Arial" w:ascii="Arial" w:hAnsi="Arial"/>
          <w:sz w:val="24"/>
        </w:rPr>
      </w:r>
      <m:oMath xmlns:m="http://schemas.openxmlformats.org/officeDocument/2006/math">
        <m:r>
          <w:rPr>
            <w:rFonts w:ascii="Cambria Math" w:hAnsi="Cambria Math"/>
          </w:rPr>
          <m:t xml:space="preserve">ρ</m:t>
        </m:r>
        <m:r>
          <w:rPr>
            <w:rFonts w:ascii="Cambria Math" w:hAnsi="Cambria Math"/>
          </w:rPr>
          <m:t xml:space="preserve">=</m:t>
        </m:r>
        <m:sSub>
          <m:e>
            <m:r>
              <w:rPr>
                <w:rFonts w:ascii="Cambria Math" w:hAnsi="Cambria Math"/>
              </w:rPr>
              <m:t xml:space="preserve">ρ</m:t>
            </m:r>
          </m:e>
          <m:sub>
            <m:r>
              <w:rPr>
                <w:rFonts w:ascii="Cambria Math" w:hAnsi="Cambria Math"/>
              </w:rPr>
              <m:t xml:space="preserve">0</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ρ</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0</m:t>
            </m:r>
          </m:sub>
        </m:sSub>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t</m:t>
        </m:r>
      </m:oMath>
      <w:r>
        <w:rPr>
          <w:rFonts w:cs="Arial" w:ascii="Arial" w:hAnsi="Arial"/>
          <w:sz w:val="24"/>
        </w:rPr>
        <w:tab/>
        <w:tab/>
        <w:tab/>
        <w:tab/>
        <w:t>(5)</w:t>
      </w:r>
    </w:p>
    <w:p>
      <w:pPr>
        <w:pStyle w:val="Normal"/>
        <w:jc w:val="both"/>
        <w:rPr>
          <w:rFonts w:ascii="Arial" w:hAnsi="Arial" w:cs="Arial"/>
          <w:sz w:val="24"/>
        </w:rPr>
      </w:pPr>
      <w:r>
        <w:rPr>
          <w:rFonts w:cs="Arial" w:ascii="Arial" w:hAnsi="Arial"/>
          <w:sz w:val="24"/>
        </w:rPr>
        <w:tab/>
        <w:t xml:space="preserve"> </w:t>
      </w:r>
    </w:p>
    <w:p>
      <w:pPr>
        <w:pStyle w:val="Normal"/>
        <w:jc w:val="both"/>
        <w:rPr/>
      </w:pPr>
      <w:r>
        <w:rPr>
          <w:rFonts w:cs="Arial" w:ascii="Arial" w:hAnsi="Arial"/>
          <w:sz w:val="28"/>
          <w:szCs w:val="28"/>
        </w:rPr>
        <w:t xml:space="preserve">iar </w:t>
        <w:tab/>
        <w:tab/>
        <w:tab/>
        <w:t>R = R</w:t>
      </w:r>
      <w:r>
        <w:rPr>
          <w:rFonts w:cs="Arial" w:ascii="Arial" w:hAnsi="Arial"/>
          <w:sz w:val="28"/>
          <w:szCs w:val="28"/>
          <w:vertAlign w:val="subscript"/>
        </w:rPr>
        <w:t>0</w:t>
      </w:r>
      <w:r>
        <w:rPr>
          <w:rFonts w:cs="Arial" w:ascii="Arial" w:hAnsi="Arial"/>
          <w:sz w:val="28"/>
          <w:szCs w:val="28"/>
        </w:rPr>
        <w:t xml:space="preserve"> (1+α·t)</w:t>
      </w:r>
      <w:r>
        <w:rPr>
          <w:rFonts w:cs="Arial" w:ascii="Arial" w:hAnsi="Arial"/>
          <w:sz w:val="24"/>
        </w:rPr>
        <w:tab/>
        <w:tab/>
        <w:tab/>
        <w:t>(6)</w:t>
      </w:r>
    </w:p>
    <w:p>
      <w:pPr>
        <w:pStyle w:val="Normal"/>
        <w:jc w:val="both"/>
        <w:rPr>
          <w:rFonts w:ascii="Arial" w:hAnsi="Arial" w:cs="Arial"/>
          <w:sz w:val="24"/>
        </w:rPr>
      </w:pPr>
      <w:r>
        <w:rPr>
          <w:rFonts w:cs="Arial" w:ascii="Arial" w:hAnsi="Arial"/>
          <w:sz w:val="24"/>
        </w:rPr>
      </w:r>
    </w:p>
    <w:p>
      <w:pPr>
        <w:pStyle w:val="Normal"/>
        <w:jc w:val="both"/>
        <w:rPr/>
      </w:pPr>
      <w:r>
        <w:rPr>
          <w:rFonts w:cs="Arial" w:ascii="Arial" w:hAnsi="Arial"/>
          <w:sz w:val="24"/>
          <w:szCs w:val="24"/>
        </w:rPr>
        <w:t>unde t</w:t>
      </w:r>
      <w:r>
        <w:rPr>
          <w:rFonts w:cs="Arial" w:ascii="Arial" w:hAnsi="Arial"/>
          <w:sz w:val="24"/>
          <w:szCs w:val="24"/>
          <w:vertAlign w:val="subscript"/>
        </w:rPr>
        <w:t>0</w:t>
      </w:r>
      <w:r>
        <w:rPr>
          <w:rFonts w:cs="Arial" w:ascii="Arial" w:hAnsi="Arial"/>
          <w:sz w:val="24"/>
          <w:szCs w:val="24"/>
        </w:rPr>
        <w:t xml:space="preserve"> = 0</w:t>
      </w:r>
      <w:r>
        <w:rPr>
          <w:rFonts w:cs="Arial" w:ascii="Arial" w:hAnsi="Arial"/>
          <w:sz w:val="24"/>
          <w:szCs w:val="24"/>
          <w:vertAlign w:val="superscript"/>
        </w:rPr>
        <w:t xml:space="preserve"> o</w:t>
      </w:r>
      <w:r>
        <w:rPr>
          <w:rFonts w:cs="Arial" w:ascii="Arial" w:hAnsi="Arial"/>
          <w:sz w:val="24"/>
          <w:szCs w:val="24"/>
        </w:rPr>
        <w:t xml:space="preserve">C,  </w:t>
      </w:r>
      <w:r>
        <w:rPr>
          <w:rFonts w:cs="Arial" w:ascii="Arial" w:hAnsi="Arial"/>
          <w:sz w:val="24"/>
          <w:szCs w:val="24"/>
        </w:rPr>
      </w:r>
      <m:oMath xmlns:m="http://schemas.openxmlformats.org/officeDocument/2006/math">
        <m:sSub>
          <m:e>
            <m:r>
              <w:rPr>
                <w:rFonts w:ascii="Cambria Math" w:hAnsi="Cambria Math"/>
              </w:rPr>
              <m:t xml:space="preserve">ρ</m:t>
            </m:r>
          </m:e>
          <m:sub>
            <m:r>
              <w:rPr>
                <w:rFonts w:ascii="Cambria Math" w:hAnsi="Cambria Math"/>
              </w:rPr>
              <m:t xml:space="preserve">0</m:t>
            </m:r>
          </m:sub>
        </m:sSub>
        <m:r>
          <w:rPr>
            <w:rFonts w:ascii="Cambria Math" w:hAnsi="Cambria Math"/>
          </w:rPr>
          <m:t xml:space="preserve">=</m:t>
        </m:r>
      </m:oMath>
      <w:r>
        <w:rPr>
          <w:rFonts w:cs="Arial" w:ascii="Arial" w:hAnsi="Arial"/>
          <w:sz w:val="24"/>
          <w:szCs w:val="24"/>
        </w:rPr>
        <w:t>rezistivitatea la 0</w:t>
      </w:r>
      <w:r>
        <w:rPr>
          <w:rFonts w:cs="Arial" w:ascii="Arial" w:hAnsi="Arial"/>
          <w:sz w:val="24"/>
          <w:szCs w:val="24"/>
          <w:vertAlign w:val="superscript"/>
        </w:rPr>
        <w:t xml:space="preserve"> o</w:t>
      </w:r>
      <w:r>
        <w:rPr>
          <w:rFonts w:cs="Arial" w:ascii="Arial" w:hAnsi="Arial"/>
          <w:sz w:val="24"/>
          <w:szCs w:val="24"/>
        </w:rPr>
        <w:t>C, Ro = rezistența la 0</w:t>
      </w:r>
      <w:r>
        <w:rPr>
          <w:rFonts w:cs="Arial" w:ascii="Arial" w:hAnsi="Arial"/>
          <w:sz w:val="24"/>
          <w:szCs w:val="24"/>
          <w:vertAlign w:val="superscript"/>
        </w:rPr>
        <w:t xml:space="preserve"> o</w:t>
      </w:r>
      <w:r>
        <w:rPr>
          <w:rFonts w:cs="Arial" w:ascii="Arial" w:hAnsi="Arial"/>
          <w:sz w:val="24"/>
          <w:szCs w:val="24"/>
        </w:rPr>
        <w:t>C</w:t>
      </w:r>
    </w:p>
    <w:p>
      <w:pPr>
        <w:pStyle w:val="Normal"/>
        <w:jc w:val="both"/>
        <w:rPr>
          <w:rFonts w:ascii="Arial" w:hAnsi="Arial" w:cs="Arial"/>
          <w:sz w:val="24"/>
          <w:szCs w:val="24"/>
        </w:rPr>
      </w:pPr>
      <w:r>
        <w:rPr>
          <w:rFonts w:cs="Arial" w:ascii="Arial" w:hAnsi="Arial"/>
          <w:sz w:val="24"/>
          <w:szCs w:val="24"/>
        </w:rPr>
      </w:r>
    </w:p>
    <w:p>
      <w:pPr>
        <w:pStyle w:val="Normal"/>
        <w:keepNext w:val="true"/>
        <w:rPr/>
      </w:pPr>
      <w:r>
        <w:object w:dxaOrig="7049" w:dyaOrig="5296">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7.65pt;margin-top:-20.5pt;width:248.55pt;height:156.2pt;mso-wrap-distance-left:9.05pt;mso-wrap-distance-right:9.05pt;mso-position-horizontal-relative:text;mso-position-vertical-relative:text" filled="f" o:ole="">
            <v:imagedata r:id="rId3" o:title=""/>
            <w10:wrap type="square"/>
          </v:shape>
          <o:OLEObject Type="Embed" ProgID="" ShapeID="ole_rId2" DrawAspect="Content" ObjectID="_146992573" r:id="rId2"/>
        </w:object>
      </w:r>
      <w:r>
        <w:rPr/>
        <w:tab/>
      </w:r>
      <w:r>
        <w:rPr>
          <w:rFonts w:cs="Arial" w:ascii="Arial" w:hAnsi="Arial"/>
          <w:sz w:val="24"/>
        </w:rPr>
        <w:t xml:space="preserve">Schema de principiu a instalaţiei este dată în fig. 1. Rezistenţa se măsoară cu puntea Wheatstone.  Pentru masurarea temperaturii în domeniul 20 </w:t>
      </w:r>
      <w:r>
        <w:rPr>
          <w:rFonts w:eastAsia="Symbol" w:cs="Symbol" w:ascii="Symbol" w:hAnsi="Symbol"/>
          <w:sz w:val="24"/>
        </w:rPr>
        <w:t></w:t>
      </w:r>
      <w:r>
        <w:rPr>
          <w:rFonts w:cs="Arial" w:ascii="Arial" w:hAnsi="Arial"/>
          <w:sz w:val="24"/>
        </w:rPr>
        <w:t xml:space="preserve"> 60</w:t>
      </w:r>
      <w:r>
        <w:rPr>
          <w:rFonts w:cs="Arial" w:ascii="Arial" w:hAnsi="Arial"/>
          <w:sz w:val="24"/>
          <w:vertAlign w:val="superscript"/>
        </w:rPr>
        <w:t>0</w:t>
      </w:r>
      <w:r>
        <w:rPr>
          <w:rFonts w:cs="Arial" w:ascii="Arial" w:hAnsi="Arial"/>
          <w:sz w:val="24"/>
        </w:rPr>
        <w:t xml:space="preserve"> C se foloseşte un termometru. Dimensiunile geometrice ale firului din care este confecţionat rezistorul sunt </w:t>
      </w:r>
      <w:r>
        <w:rPr>
          <w:rFonts w:cs="Arial" w:ascii="Arial" w:hAnsi="Arial"/>
          <w:b/>
          <w:bCs/>
          <w:sz w:val="24"/>
        </w:rPr>
        <w:t>ℓ = 10 m</w:t>
      </w:r>
      <w:r>
        <w:rPr>
          <w:rFonts w:cs="Arial" w:ascii="Arial" w:hAnsi="Arial"/>
          <w:sz w:val="24"/>
        </w:rPr>
        <w:t xml:space="preserve">, </w:t>
      </w:r>
      <w:r>
        <w:rPr>
          <w:rFonts w:cs="Arial" w:ascii="Arial" w:hAnsi="Arial"/>
          <w:b/>
          <w:bCs/>
          <w:sz w:val="24"/>
        </w:rPr>
        <w:t>Φ = 0,5 mm.</w:t>
      </w:r>
    </w:p>
    <w:p>
      <w:pPr>
        <w:pStyle w:val="Normal"/>
        <w:jc w:val="both"/>
        <w:rPr>
          <w:rFonts w:ascii="Arial" w:hAnsi="Arial" w:cs="Arial"/>
          <w:b/>
          <w:b/>
          <w:bCs/>
          <w:sz w:val="24"/>
        </w:rPr>
      </w:pPr>
      <w:r>
        <w:rPr>
          <w:rFonts w:cs="Arial" w:ascii="Arial" w:hAnsi="Arial"/>
          <w:b/>
          <w:bCs/>
          <w:sz w:val="24"/>
        </w:rPr>
      </w:r>
    </w:p>
    <w:p>
      <w:pPr>
        <w:pStyle w:val="Heading1"/>
        <w:rPr>
          <w:rFonts w:ascii="Arial" w:hAnsi="Arial" w:cs="Arial"/>
          <w:sz w:val="24"/>
        </w:rPr>
      </w:pPr>
      <w:r>
        <w:rPr>
          <w:rFonts w:cs="Arial"/>
          <w:sz w:val="24"/>
        </w:rPr>
      </w:r>
    </w:p>
    <w:p>
      <w:pPr>
        <w:pStyle w:val="Heading1"/>
        <w:rPr/>
      </w:pPr>
      <w:r>
        <w:rPr/>
      </w:r>
    </w:p>
    <w:p>
      <w:pPr>
        <w:pStyle w:val="Heading1"/>
        <w:rPr/>
      </w:pPr>
      <w:r>
        <w:rPr/>
        <w:t>Figura1</w:t>
      </w:r>
    </w:p>
    <w:p>
      <w:pPr>
        <w:pStyle w:val="Normal"/>
        <w:rPr/>
      </w:pPr>
      <w:r>
        <w:rPr/>
      </w:r>
    </w:p>
    <w:p>
      <w:pPr>
        <w:pStyle w:val="Heading1"/>
        <w:rPr/>
      </w:pPr>
      <w:r>
        <w:rPr/>
      </w:r>
    </w:p>
    <w:p>
      <w:pPr>
        <w:pStyle w:val="Heading1"/>
        <w:rPr/>
      </w:pPr>
      <w:r>
        <w:rPr/>
      </w:r>
    </w:p>
    <w:p>
      <w:pPr>
        <w:pStyle w:val="Heading1"/>
        <w:rPr/>
      </w:pPr>
      <w:r>
        <w:rPr/>
        <w:t>Modul de lucru</w:t>
      </w:r>
    </w:p>
    <w:p>
      <w:pPr>
        <w:pStyle w:val="Normal"/>
        <w:numPr>
          <w:ilvl w:val="0"/>
          <w:numId w:val="2"/>
        </w:numPr>
        <w:jc w:val="both"/>
        <w:rPr/>
      </w:pPr>
      <w:r>
        <w:rPr>
          <w:rFonts w:cs="Arial" w:ascii="Arial" w:hAnsi="Arial"/>
          <w:sz w:val="24"/>
        </w:rPr>
        <w:t>stabileşte modul de folosire al pun</w:t>
      </w:r>
      <w:r>
        <w:rPr>
          <w:sz w:val="24"/>
        </w:rPr>
        <w:t>ţ</w:t>
      </w:r>
      <w:r>
        <w:rPr>
          <w:rFonts w:cs="Arial" w:ascii="Arial" w:hAnsi="Arial"/>
          <w:sz w:val="24"/>
        </w:rPr>
        <w:t>ii Wheatstone .</w:t>
      </w:r>
    </w:p>
    <w:p>
      <w:pPr>
        <w:pStyle w:val="Normal"/>
        <w:numPr>
          <w:ilvl w:val="0"/>
          <w:numId w:val="2"/>
        </w:numPr>
        <w:jc w:val="both"/>
        <w:rPr>
          <w:rFonts w:ascii="Arial" w:hAnsi="Arial" w:cs="Arial"/>
          <w:sz w:val="24"/>
        </w:rPr>
      </w:pPr>
      <w:r>
        <w:rPr>
          <w:rFonts w:cs="Arial" w:ascii="Arial" w:hAnsi="Arial"/>
          <w:sz w:val="24"/>
        </w:rPr>
        <w:t>Se conectează plita cu agitatorul magnetic şi se urmăreşte creşterea  temperaturii şi concomitent  creşterea rezistenţei. Datele se trec în tabel.</w:t>
      </w:r>
    </w:p>
    <w:p>
      <w:pPr>
        <w:pStyle w:val="Normal"/>
        <w:numPr>
          <w:ilvl w:val="0"/>
          <w:numId w:val="2"/>
        </w:numPr>
        <w:jc w:val="both"/>
        <w:rPr>
          <w:rFonts w:ascii="Arial" w:hAnsi="Arial" w:cs="Arial"/>
          <w:sz w:val="24"/>
        </w:rPr>
      </w:pPr>
      <w:r>
        <w:rPr>
          <w:rFonts w:cs="Arial" w:ascii="Arial" w:hAnsi="Arial"/>
          <w:sz w:val="24"/>
        </w:rPr>
        <w:t>Ţinând cont de dimensiunile geometrice ale sârmei de cupru,cu ajutorul relaţiei 2 se calculează rezistivitatea.</w:t>
      </w:r>
    </w:p>
    <w:p>
      <w:pPr>
        <w:pStyle w:val="Normal"/>
        <w:numPr>
          <w:ilvl w:val="0"/>
          <w:numId w:val="2"/>
        </w:numPr>
        <w:jc w:val="both"/>
        <w:rPr>
          <w:rFonts w:ascii="Arial" w:hAnsi="Arial" w:cs="Arial"/>
          <w:sz w:val="24"/>
        </w:rPr>
      </w:pPr>
      <w:r>
        <w:rPr>
          <w:rFonts w:cs="Arial" w:ascii="Arial" w:hAnsi="Arial"/>
          <w:sz w:val="24"/>
        </w:rPr>
        <w:t>Se reprezintă grafic dependența R(t) care reprezintă carecteristica statică a termorezistorului.</w:t>
      </w:r>
    </w:p>
    <w:p>
      <w:pPr>
        <w:pStyle w:val="Normal"/>
        <w:numPr>
          <w:ilvl w:val="0"/>
          <w:numId w:val="2"/>
        </w:numPr>
        <w:jc w:val="both"/>
        <w:rPr/>
      </w:pPr>
      <w:r>
        <w:rPr>
          <w:rFonts w:cs="Arial" w:ascii="Arial" w:hAnsi="Arial"/>
          <w:sz w:val="24"/>
        </w:rPr>
        <w:t xml:space="preserve">Se determină rezistența la </w:t>
      </w:r>
      <w:r>
        <w:rPr>
          <w:rFonts w:cs="Arial" w:ascii="Arial" w:hAnsi="Arial"/>
          <w:sz w:val="24"/>
          <w:szCs w:val="24"/>
        </w:rPr>
        <w:t>t</w:t>
      </w:r>
      <w:r>
        <w:rPr>
          <w:rFonts w:cs="Arial" w:ascii="Arial" w:hAnsi="Arial"/>
          <w:sz w:val="24"/>
          <w:szCs w:val="24"/>
          <w:vertAlign w:val="subscript"/>
        </w:rPr>
        <w:t>0</w:t>
      </w:r>
      <w:r>
        <w:rPr>
          <w:rFonts w:cs="Arial" w:ascii="Arial" w:hAnsi="Arial"/>
          <w:sz w:val="24"/>
          <w:szCs w:val="24"/>
        </w:rPr>
        <w:t xml:space="preserve"> = 0</w:t>
      </w:r>
      <w:r>
        <w:rPr>
          <w:rFonts w:cs="Arial" w:ascii="Arial" w:hAnsi="Arial"/>
          <w:sz w:val="24"/>
          <w:szCs w:val="24"/>
          <w:vertAlign w:val="superscript"/>
        </w:rPr>
        <w:t xml:space="preserve"> o</w:t>
      </w:r>
      <w:r>
        <w:rPr>
          <w:rFonts w:cs="Arial" w:ascii="Arial" w:hAnsi="Arial"/>
          <w:sz w:val="24"/>
          <w:szCs w:val="24"/>
        </w:rPr>
        <w:t>C și α, coeficientul de temperatură al rezistivității.</w:t>
      </w:r>
    </w:p>
    <w:p>
      <w:pPr>
        <w:pStyle w:val="Normal"/>
        <w:numPr>
          <w:ilvl w:val="0"/>
          <w:numId w:val="2"/>
        </w:numPr>
        <w:jc w:val="both"/>
        <w:rPr>
          <w:rFonts w:ascii="Arial" w:hAnsi="Arial" w:cs="Arial"/>
          <w:sz w:val="24"/>
        </w:rPr>
      </w:pPr>
      <w:r>
        <w:rPr>
          <w:rFonts w:cs="Arial" w:ascii="Arial" w:hAnsi="Arial"/>
          <w:sz w:val="24"/>
        </w:rPr>
        <w:t>Se analizează posibilitatea folosirii termorezistorului ca și senzor de temperatură.</w:t>
      </w:r>
    </w:p>
    <w:p>
      <w:pPr>
        <w:pStyle w:val="Heading2"/>
        <w:rPr>
          <w:rFonts w:ascii="Arial" w:hAnsi="Arial" w:cs="Arial"/>
          <w:sz w:val="24"/>
        </w:rPr>
      </w:pPr>
      <w:r>
        <w:rPr>
          <w:rFonts w:cs="Arial"/>
          <w:sz w:val="24"/>
        </w:rPr>
      </w:r>
    </w:p>
    <w:p>
      <w:pPr>
        <w:pStyle w:val="Normal"/>
        <w:rPr/>
      </w:pPr>
      <w:r>
        <w:rPr/>
      </w:r>
    </w:p>
    <w:p>
      <w:pPr>
        <w:pStyle w:val="Normal"/>
        <w:rPr/>
      </w:pPr>
      <w:r>
        <w:rPr/>
      </w:r>
    </w:p>
    <w:p>
      <w:pPr>
        <w:pStyle w:val="Normal"/>
        <w:rPr/>
      </w:pPr>
      <w:r>
        <w:rPr/>
      </w:r>
    </w:p>
    <w:p>
      <w:pPr>
        <w:pStyle w:val="Heading2"/>
        <w:rPr/>
      </w:pPr>
      <w:r>
        <w:rPr/>
      </w:r>
    </w:p>
    <w:p>
      <w:pPr>
        <w:pStyle w:val="Heading2"/>
        <w:rPr/>
      </w:pPr>
      <w:r>
        <w:rPr/>
        <w:t>Tabel cu date experimentale</w:t>
      </w:r>
    </w:p>
    <w:p>
      <w:pPr>
        <w:pStyle w:val="Normal"/>
        <w:rPr/>
      </w:pPr>
      <w:r>
        <w:rPr/>
      </w:r>
    </w:p>
    <w:p>
      <w:pPr>
        <w:pStyle w:val="Normal"/>
        <w:rPr/>
      </w:pPr>
      <w:r>
        <w:rPr/>
      </w:r>
    </w:p>
    <w:p>
      <w:pPr>
        <w:pStyle w:val="Normal"/>
        <w:rPr>
          <w:sz w:val="24"/>
          <w:szCs w:val="24"/>
        </w:rPr>
      </w:pPr>
      <w:r>
        <w:rPr>
          <w:sz w:val="24"/>
          <w:szCs w:val="24"/>
        </w:rPr>
        <w:t>l=10 m</w:t>
      </w:r>
    </w:p>
    <w:p>
      <w:pPr>
        <w:pStyle w:val="Normal"/>
        <w:rPr>
          <w:sz w:val="24"/>
          <w:szCs w:val="24"/>
        </w:rPr>
      </w:pPr>
      <w:r>
        <w:rPr>
          <w:sz w:val="24"/>
          <w:szCs w:val="24"/>
        </w:rPr>
      </w:r>
    </w:p>
    <w:p>
      <w:pPr>
        <w:pStyle w:val="Normal"/>
        <w:rPr>
          <w:sz w:val="24"/>
          <w:szCs w:val="24"/>
        </w:rPr>
      </w:pPr>
      <w:r>
        <w:rPr>
          <w:sz w:val="24"/>
          <w:szCs w:val="24"/>
        </w:rPr>
        <w:t xml:space="preserve">d=0,5 mm  </w:t>
      </w:r>
    </w:p>
    <w:p>
      <w:pPr>
        <w:pStyle w:val="Normal"/>
        <w:rPr>
          <w:sz w:val="24"/>
          <w:szCs w:val="24"/>
        </w:rPr>
      </w:pPr>
      <w:r>
        <w:rPr>
          <w:sz w:val="24"/>
          <w:szCs w:val="24"/>
        </w:rPr>
      </w:r>
    </w:p>
    <w:p>
      <w:pPr>
        <w:pStyle w:val="Normal"/>
        <w:rPr>
          <w:sz w:val="24"/>
          <w:szCs w:val="24"/>
        </w:rPr>
      </w:pPr>
      <w:r>
        <w:rPr>
          <w:sz w:val="24"/>
          <w:szCs w:val="24"/>
        </w:rPr>
      </w:r>
    </w:p>
    <w:tbl>
      <w:tblPr>
        <w:tblW w:w="5641" w:type="dxa"/>
        <w:jc w:val="center"/>
        <w:tblInd w:w="0" w:type="dxa"/>
        <w:tblLayout w:type="fixed"/>
        <w:tblCellMar>
          <w:top w:w="0" w:type="dxa"/>
          <w:left w:w="108" w:type="dxa"/>
          <w:bottom w:w="0" w:type="dxa"/>
          <w:right w:w="108" w:type="dxa"/>
        </w:tblCellMar>
      </w:tblPr>
      <w:tblGrid>
        <w:gridCol w:w="673"/>
        <w:gridCol w:w="915"/>
        <w:gridCol w:w="851"/>
        <w:gridCol w:w="992"/>
        <w:gridCol w:w="1140"/>
        <w:gridCol w:w="1070"/>
      </w:tblGrid>
      <w:tr>
        <w:trPr/>
        <w:tc>
          <w:tcPr>
            <w:tcW w:w="67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4"/>
              </w:rPr>
            </w:pPr>
            <w:r>
              <w:rPr>
                <w:rFonts w:cs="Arial" w:ascii="Arial" w:hAnsi="Arial"/>
                <w:sz w:val="24"/>
              </w:rPr>
              <w:t>Nr. crt.</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4"/>
              </w:rPr>
            </w:pPr>
            <w:r>
              <w:rPr>
                <w:rFonts w:cs="Arial" w:ascii="Arial" w:hAnsi="Arial"/>
                <w:sz w:val="24"/>
              </w:rPr>
              <w:t>t</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4"/>
              </w:rPr>
            </w:pPr>
            <w:r>
              <w:rPr>
                <w:rFonts w:cs="Arial" w:ascii="Arial" w:hAnsi="Arial"/>
                <w:sz w:val="24"/>
              </w:rPr>
              <w:t>R</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Symbol" w:hAnsi="Symbol" w:eastAsia="Symbol" w:cs="Symbol"/>
                <w:sz w:val="24"/>
              </w:rPr>
            </w:pPr>
            <w:r>
              <w:rPr>
                <w:rFonts w:eastAsia="Symbol" w:cs="Symbol" w:ascii="Symbol" w:hAnsi="Symbol"/>
                <w:sz w:val="24"/>
              </w:rPr>
              <w:t></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cs="Arial" w:ascii="Arial" w:hAnsi="Arial"/>
                <w:sz w:val="24"/>
              </w:rPr>
              <w:t>R</w:t>
            </w:r>
            <w:r>
              <w:rPr>
                <w:rFonts w:cs="Arial" w:ascii="Arial" w:hAnsi="Arial"/>
                <w:sz w:val="24"/>
                <w:vertAlign w:val="subscript"/>
              </w:rPr>
              <w:t>0</w:t>
            </w:r>
          </w:p>
        </w:tc>
        <w:tc>
          <w:tcPr>
            <w:tcW w:w="1070" w:type="dxa"/>
            <w:tcBorders>
              <w:top w:val="single" w:sz="4" w:space="0" w:color="000000"/>
              <w:left w:val="single" w:sz="4" w:space="0" w:color="000000"/>
              <w:bottom w:val="single" w:sz="4" w:space="0" w:color="000000"/>
              <w:right w:val="single" w:sz="4" w:space="0" w:color="000000"/>
            </w:tcBorders>
          </w:tcPr>
          <w:p>
            <w:pPr>
              <w:pStyle w:val="Normal"/>
              <w:jc w:val="center"/>
              <w:rPr>
                <w:rFonts w:ascii="Symbol" w:hAnsi="Symbol" w:eastAsia="Symbol" w:cs="Symbol"/>
                <w:sz w:val="24"/>
              </w:rPr>
            </w:pPr>
            <w:r>
              <w:rPr>
                <w:rFonts w:eastAsia="Symbol" w:cs="Symbol" w:ascii="Symbol" w:hAnsi="Symbol"/>
                <w:sz w:val="24"/>
              </w:rPr>
              <w:t></w:t>
            </w:r>
          </w:p>
        </w:tc>
      </w:tr>
      <w:tr>
        <w:trPr/>
        <w:tc>
          <w:tcPr>
            <w:tcW w:w="6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sz w:val="24"/>
              </w:rPr>
            </w:pPr>
            <w:r>
              <w:rPr>
                <w:rFonts w:cs="Arial" w:ascii="Arial" w:hAnsi="Arial"/>
                <w:sz w:val="24"/>
              </w:rPr>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cs="Arial" w:ascii="Arial" w:hAnsi="Arial"/>
                <w:sz w:val="24"/>
                <w:vertAlign w:val="superscript"/>
              </w:rPr>
              <w:t>0</w:t>
            </w:r>
            <w:r>
              <w:rPr>
                <w:rFonts w:cs="Arial" w:ascii="Arial" w:hAnsi="Arial"/>
                <w:sz w:val="24"/>
              </w:rPr>
              <w:t>C</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Symbol" w:hAnsi="Symbol" w:eastAsia="Symbol" w:cs="Symbol"/>
                <w:sz w:val="24"/>
              </w:rPr>
            </w:pPr>
            <w:r>
              <w:rPr>
                <w:rFonts w:eastAsia="Symbol" w:cs="Symbol" w:ascii="Symbol" w:hAnsi="Symbol"/>
                <w:sz w:val="24"/>
              </w:rPr>
              <w:t></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Symbol" w:cs="Symbol" w:ascii="Symbol" w:hAnsi="Symbol"/>
                <w:sz w:val="24"/>
              </w:rPr>
              <w:t></w:t>
            </w:r>
            <w:r>
              <w:rPr>
                <w:rFonts w:eastAsia="Arial" w:cs="Arial" w:ascii="Arial" w:hAnsi="Arial"/>
                <w:sz w:val="24"/>
              </w:rPr>
              <w:t xml:space="preserve"> </w:t>
            </w:r>
            <w:r>
              <w:rPr>
                <w:rFonts w:cs="Arial" w:ascii="Arial" w:hAnsi="Arial"/>
                <w:sz w:val="24"/>
              </w:rPr>
              <w:t>· m</w:t>
            </w:r>
          </w:p>
        </w:tc>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Symbol" w:hAnsi="Symbol" w:eastAsia="Symbol" w:cs="Symbol"/>
                <w:sz w:val="24"/>
              </w:rPr>
            </w:pPr>
            <w:r>
              <w:rPr>
                <w:rFonts w:eastAsia="Symbol" w:cs="Symbol" w:ascii="Symbol" w:hAnsi="Symbol"/>
                <w:sz w:val="24"/>
              </w:rPr>
              <w:t></w:t>
            </w:r>
          </w:p>
        </w:tc>
        <w:tc>
          <w:tcPr>
            <w:tcW w:w="107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4"/>
              </w:rPr>
            </w:pPr>
            <w:r>
              <w:rPr>
                <w:rFonts w:cs="Arial" w:ascii="Arial" w:hAnsi="Arial"/>
                <w:sz w:val="24"/>
              </w:rPr>
            </w:r>
            <m:oMathPara xmlns:m="http://schemas.openxmlformats.org/officeDocument/2006/math">
              <m:oMathParaPr>
                <m:jc m:val="left"/>
              </m:oMathParaPr>
              <m:oMath>
                <m:sSup>
                  <m:e>
                    <m:r>
                      <w:rPr>
                        <w:rFonts w:ascii="Cambria Math" w:hAnsi="Cambria Math"/>
                      </w:rPr>
                      <m:t xml:space="preserve">K</m:t>
                    </m:r>
                  </m:e>
                  <m:sup>
                    <m:r>
                      <w:rPr>
                        <w:rFonts w:ascii="Cambria Math" w:hAnsi="Cambria Math"/>
                      </w:rPr>
                      <m:t xml:space="preserve">−</m:t>
                    </m:r>
                    <m:r>
                      <w:rPr>
                        <w:rFonts w:ascii="Cambria Math" w:hAnsi="Cambria Math"/>
                      </w:rPr>
                      <m:t xml:space="preserve">1</m:t>
                    </m:r>
                  </m:sup>
                </m:sSup>
              </m:oMath>
            </m:oMathPara>
          </w:p>
        </w:tc>
      </w:tr>
      <w:tr>
        <w:trPr/>
        <w:tc>
          <w:tcPr>
            <w:tcW w:w="673"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4"/>
              </w:rPr>
            </w:pPr>
            <w:r>
              <w:rPr>
                <w:rFonts w:cs="Arial" w:ascii="Arial" w:hAnsi="Arial"/>
                <w:sz w:val="24"/>
              </w:rPr>
              <w:t>1</w:t>
            </w:r>
          </w:p>
        </w:tc>
        <w:tc>
          <w:tcPr>
            <w:tcW w:w="915"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22</w:t>
            </w:r>
          </w:p>
        </w:tc>
        <w:tc>
          <w:tcPr>
            <w:tcW w:w="851"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3.73</w:t>
            </w:r>
          </w:p>
        </w:tc>
        <w:tc>
          <w:tcPr>
            <w:tcW w:w="992"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7.31</w:t>
            </w:r>
          </w:p>
        </w:tc>
        <w:tc>
          <w:tcPr>
            <w:tcW w:w="1140" w:type="dxa"/>
            <w:vMerge w:val="restart"/>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sz w:val="24"/>
              </w:rPr>
            </w:pPr>
            <w:r>
              <w:rPr>
                <w:rFonts w:cs="Arial" w:ascii="Arial" w:hAnsi="Arial"/>
                <w:sz w:val="24"/>
              </w:rPr>
              <w:t>3.405</w:t>
            </w:r>
          </w:p>
        </w:tc>
        <w:tc>
          <w:tcPr>
            <w:tcW w:w="1070" w:type="dxa"/>
            <w:vMerge w:val="restart"/>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sz w:val="24"/>
              </w:rPr>
            </w:pPr>
            <w:r>
              <w:rPr>
                <w:rFonts w:cs="Arial" w:ascii="Arial" w:hAnsi="Arial"/>
                <w:sz w:val="24"/>
              </w:rPr>
              <w:t>0.004405286</w:t>
            </w:r>
          </w:p>
        </w:tc>
      </w:tr>
      <w:tr>
        <w:trPr/>
        <w:tc>
          <w:tcPr>
            <w:tcW w:w="673"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4"/>
              </w:rPr>
            </w:pPr>
            <w:r>
              <w:rPr>
                <w:rFonts w:cs="Arial" w:ascii="Arial" w:hAnsi="Arial"/>
                <w:sz w:val="24"/>
              </w:rPr>
              <w:t>2</w:t>
            </w:r>
          </w:p>
        </w:tc>
        <w:tc>
          <w:tcPr>
            <w:tcW w:w="915"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24</w:t>
            </w:r>
          </w:p>
        </w:tc>
        <w:tc>
          <w:tcPr>
            <w:tcW w:w="851"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3.77</w:t>
            </w:r>
          </w:p>
        </w:tc>
        <w:tc>
          <w:tcPr>
            <w:tcW w:w="992"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7.39</w:t>
            </w:r>
          </w:p>
        </w:tc>
        <w:tc>
          <w:tcPr>
            <w:tcW w:w="114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07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73"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4"/>
              </w:rPr>
            </w:pPr>
            <w:r>
              <w:rPr>
                <w:rFonts w:cs="Arial" w:ascii="Arial" w:hAnsi="Arial"/>
                <w:sz w:val="24"/>
              </w:rPr>
              <w:t>3</w:t>
            </w:r>
          </w:p>
        </w:tc>
        <w:tc>
          <w:tcPr>
            <w:tcW w:w="915"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26</w:t>
            </w:r>
          </w:p>
        </w:tc>
        <w:tc>
          <w:tcPr>
            <w:tcW w:w="851"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3.8</w:t>
            </w:r>
          </w:p>
        </w:tc>
        <w:tc>
          <w:tcPr>
            <w:tcW w:w="992"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7.45</w:t>
            </w:r>
          </w:p>
        </w:tc>
        <w:tc>
          <w:tcPr>
            <w:tcW w:w="114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07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73"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4"/>
              </w:rPr>
            </w:pPr>
            <w:r>
              <w:rPr>
                <w:rFonts w:cs="Arial" w:ascii="Arial" w:hAnsi="Arial"/>
                <w:sz w:val="24"/>
              </w:rPr>
              <w:t>4</w:t>
            </w:r>
          </w:p>
        </w:tc>
        <w:tc>
          <w:tcPr>
            <w:tcW w:w="915"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28</w:t>
            </w:r>
          </w:p>
        </w:tc>
        <w:tc>
          <w:tcPr>
            <w:tcW w:w="851"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3.83</w:t>
            </w:r>
          </w:p>
        </w:tc>
        <w:tc>
          <w:tcPr>
            <w:tcW w:w="992"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7.51</w:t>
            </w:r>
          </w:p>
        </w:tc>
        <w:tc>
          <w:tcPr>
            <w:tcW w:w="114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07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73"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4"/>
              </w:rPr>
            </w:pPr>
            <w:r>
              <w:rPr>
                <w:rFonts w:cs="Arial" w:ascii="Arial" w:hAnsi="Arial"/>
                <w:sz w:val="24"/>
              </w:rPr>
              <w:t>5</w:t>
            </w:r>
          </w:p>
        </w:tc>
        <w:tc>
          <w:tcPr>
            <w:tcW w:w="915"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30</w:t>
            </w:r>
          </w:p>
        </w:tc>
        <w:tc>
          <w:tcPr>
            <w:tcW w:w="851"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3.86</w:t>
            </w:r>
          </w:p>
        </w:tc>
        <w:tc>
          <w:tcPr>
            <w:tcW w:w="992"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7.57</w:t>
            </w:r>
          </w:p>
        </w:tc>
        <w:tc>
          <w:tcPr>
            <w:tcW w:w="114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07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73"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4"/>
              </w:rPr>
            </w:pPr>
            <w:r>
              <w:rPr>
                <w:rFonts w:cs="Arial" w:ascii="Arial" w:hAnsi="Arial"/>
                <w:sz w:val="24"/>
              </w:rPr>
              <w:t>6</w:t>
            </w:r>
          </w:p>
        </w:tc>
        <w:tc>
          <w:tcPr>
            <w:tcW w:w="915"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32</w:t>
            </w:r>
          </w:p>
        </w:tc>
        <w:tc>
          <w:tcPr>
            <w:tcW w:w="851"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3.89</w:t>
            </w:r>
          </w:p>
        </w:tc>
        <w:tc>
          <w:tcPr>
            <w:tcW w:w="992" w:type="dxa"/>
            <w:tcBorders>
              <w:top w:val="single" w:sz="4" w:space="0" w:color="000000"/>
              <w:left w:val="single" w:sz="4" w:space="0" w:color="000000"/>
              <w:bottom w:val="single" w:sz="4" w:space="0" w:color="000000"/>
              <w:right w:val="single" w:sz="4" w:space="0" w:color="000000"/>
            </w:tcBorders>
          </w:tcPr>
          <w:p>
            <w:pPr>
              <w:pStyle w:val="TableContents"/>
              <w:jc w:val="center"/>
              <w:rPr/>
            </w:pPr>
            <w:r>
              <w:rPr/>
              <w:t>7.63</w:t>
            </w:r>
          </w:p>
        </w:tc>
        <w:tc>
          <w:tcPr>
            <w:tcW w:w="114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07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73" w:type="dxa"/>
            <w:tcBorders>
              <w:left w:val="single" w:sz="4" w:space="0" w:color="000000"/>
              <w:bottom w:val="single" w:sz="4" w:space="0" w:color="000000"/>
              <w:right w:val="single" w:sz="4" w:space="0" w:color="000000"/>
            </w:tcBorders>
          </w:tcPr>
          <w:p>
            <w:pPr>
              <w:pStyle w:val="Normal"/>
              <w:jc w:val="center"/>
              <w:rPr>
                <w:rFonts w:ascii="Arial" w:hAnsi="Arial" w:cs="Arial"/>
                <w:sz w:val="24"/>
              </w:rPr>
            </w:pPr>
            <w:r>
              <w:rPr>
                <w:rFonts w:cs="Arial" w:ascii="Arial" w:hAnsi="Arial"/>
                <w:sz w:val="24"/>
              </w:rPr>
              <w:t>7</w:t>
            </w:r>
          </w:p>
        </w:tc>
        <w:tc>
          <w:tcPr>
            <w:tcW w:w="915" w:type="dxa"/>
            <w:tcBorders>
              <w:left w:val="single" w:sz="4" w:space="0" w:color="000000"/>
              <w:bottom w:val="single" w:sz="4" w:space="0" w:color="000000"/>
              <w:right w:val="single" w:sz="4" w:space="0" w:color="000000"/>
            </w:tcBorders>
          </w:tcPr>
          <w:p>
            <w:pPr>
              <w:pStyle w:val="TableContents"/>
              <w:jc w:val="center"/>
              <w:rPr/>
            </w:pPr>
            <w:r>
              <w:rPr/>
              <w:t>34</w:t>
            </w:r>
          </w:p>
        </w:tc>
        <w:tc>
          <w:tcPr>
            <w:tcW w:w="851" w:type="dxa"/>
            <w:tcBorders>
              <w:left w:val="single" w:sz="4" w:space="0" w:color="000000"/>
              <w:bottom w:val="single" w:sz="4" w:space="0" w:color="000000"/>
              <w:right w:val="single" w:sz="4" w:space="0" w:color="000000"/>
            </w:tcBorders>
          </w:tcPr>
          <w:p>
            <w:pPr>
              <w:pStyle w:val="TableContents"/>
              <w:jc w:val="center"/>
              <w:rPr/>
            </w:pPr>
            <w:r>
              <w:rPr/>
              <w:t>3.92</w:t>
            </w:r>
          </w:p>
        </w:tc>
        <w:tc>
          <w:tcPr>
            <w:tcW w:w="992" w:type="dxa"/>
            <w:tcBorders>
              <w:left w:val="single" w:sz="4" w:space="0" w:color="000000"/>
              <w:bottom w:val="single" w:sz="4" w:space="0" w:color="000000"/>
              <w:right w:val="single" w:sz="4" w:space="0" w:color="000000"/>
            </w:tcBorders>
          </w:tcPr>
          <w:p>
            <w:pPr>
              <w:pStyle w:val="TableContents"/>
              <w:jc w:val="center"/>
              <w:rPr/>
            </w:pPr>
            <w:r>
              <w:rPr/>
              <w:t>7.69</w:t>
            </w:r>
          </w:p>
        </w:tc>
        <w:tc>
          <w:tcPr>
            <w:tcW w:w="114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07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73" w:type="dxa"/>
            <w:tcBorders>
              <w:left w:val="single" w:sz="4" w:space="0" w:color="000000"/>
              <w:bottom w:val="single" w:sz="4" w:space="0" w:color="000000"/>
              <w:right w:val="single" w:sz="4" w:space="0" w:color="000000"/>
            </w:tcBorders>
          </w:tcPr>
          <w:p>
            <w:pPr>
              <w:pStyle w:val="Normal"/>
              <w:jc w:val="center"/>
              <w:rPr>
                <w:rFonts w:ascii="Arial" w:hAnsi="Arial" w:cs="Arial"/>
                <w:sz w:val="24"/>
              </w:rPr>
            </w:pPr>
            <w:r>
              <w:rPr>
                <w:rFonts w:cs="Arial" w:ascii="Arial" w:hAnsi="Arial"/>
                <w:sz w:val="24"/>
              </w:rPr>
              <w:t>8</w:t>
            </w:r>
          </w:p>
        </w:tc>
        <w:tc>
          <w:tcPr>
            <w:tcW w:w="915" w:type="dxa"/>
            <w:tcBorders>
              <w:left w:val="single" w:sz="4" w:space="0" w:color="000000"/>
              <w:bottom w:val="single" w:sz="4" w:space="0" w:color="000000"/>
              <w:right w:val="single" w:sz="4" w:space="0" w:color="000000"/>
            </w:tcBorders>
          </w:tcPr>
          <w:p>
            <w:pPr>
              <w:pStyle w:val="TableContents"/>
              <w:jc w:val="center"/>
              <w:rPr/>
            </w:pPr>
            <w:r>
              <w:rPr/>
              <w:t>36</w:t>
            </w:r>
          </w:p>
        </w:tc>
        <w:tc>
          <w:tcPr>
            <w:tcW w:w="851" w:type="dxa"/>
            <w:tcBorders>
              <w:left w:val="single" w:sz="4" w:space="0" w:color="000000"/>
              <w:bottom w:val="single" w:sz="4" w:space="0" w:color="000000"/>
              <w:right w:val="single" w:sz="4" w:space="0" w:color="000000"/>
            </w:tcBorders>
          </w:tcPr>
          <w:p>
            <w:pPr>
              <w:pStyle w:val="TableContents"/>
              <w:jc w:val="center"/>
              <w:rPr/>
            </w:pPr>
            <w:r>
              <w:rPr/>
              <w:t>3.95</w:t>
            </w:r>
          </w:p>
        </w:tc>
        <w:tc>
          <w:tcPr>
            <w:tcW w:w="992" w:type="dxa"/>
            <w:tcBorders>
              <w:left w:val="single" w:sz="4" w:space="0" w:color="000000"/>
              <w:bottom w:val="single" w:sz="4" w:space="0" w:color="000000"/>
              <w:right w:val="single" w:sz="4" w:space="0" w:color="000000"/>
            </w:tcBorders>
          </w:tcPr>
          <w:p>
            <w:pPr>
              <w:pStyle w:val="TableContents"/>
              <w:jc w:val="center"/>
              <w:rPr/>
            </w:pPr>
            <w:r>
              <w:rPr/>
              <w:t>7.74</w:t>
            </w:r>
          </w:p>
        </w:tc>
        <w:tc>
          <w:tcPr>
            <w:tcW w:w="114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07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73" w:type="dxa"/>
            <w:tcBorders>
              <w:left w:val="single" w:sz="4" w:space="0" w:color="000000"/>
              <w:bottom w:val="single" w:sz="4" w:space="0" w:color="000000"/>
              <w:right w:val="single" w:sz="4" w:space="0" w:color="000000"/>
            </w:tcBorders>
          </w:tcPr>
          <w:p>
            <w:pPr>
              <w:pStyle w:val="Normal"/>
              <w:jc w:val="center"/>
              <w:rPr>
                <w:rFonts w:ascii="Arial" w:hAnsi="Arial" w:cs="Arial"/>
                <w:sz w:val="24"/>
              </w:rPr>
            </w:pPr>
            <w:r>
              <w:rPr>
                <w:rFonts w:cs="Arial" w:ascii="Arial" w:hAnsi="Arial"/>
                <w:sz w:val="24"/>
              </w:rPr>
              <w:t>9</w:t>
            </w:r>
          </w:p>
        </w:tc>
        <w:tc>
          <w:tcPr>
            <w:tcW w:w="915" w:type="dxa"/>
            <w:tcBorders>
              <w:left w:val="single" w:sz="4" w:space="0" w:color="000000"/>
              <w:bottom w:val="single" w:sz="4" w:space="0" w:color="000000"/>
              <w:right w:val="single" w:sz="4" w:space="0" w:color="000000"/>
            </w:tcBorders>
          </w:tcPr>
          <w:p>
            <w:pPr>
              <w:pStyle w:val="TableContents"/>
              <w:jc w:val="center"/>
              <w:rPr/>
            </w:pPr>
            <w:r>
              <w:rPr/>
              <w:t>38</w:t>
            </w:r>
          </w:p>
        </w:tc>
        <w:tc>
          <w:tcPr>
            <w:tcW w:w="851" w:type="dxa"/>
            <w:tcBorders>
              <w:left w:val="single" w:sz="4" w:space="0" w:color="000000"/>
              <w:bottom w:val="single" w:sz="4" w:space="0" w:color="000000"/>
              <w:right w:val="single" w:sz="4" w:space="0" w:color="000000"/>
            </w:tcBorders>
          </w:tcPr>
          <w:p>
            <w:pPr>
              <w:pStyle w:val="TableContents"/>
              <w:jc w:val="center"/>
              <w:rPr/>
            </w:pPr>
            <w:r>
              <w:rPr/>
              <w:t>3.98</w:t>
            </w:r>
          </w:p>
        </w:tc>
        <w:tc>
          <w:tcPr>
            <w:tcW w:w="992" w:type="dxa"/>
            <w:tcBorders>
              <w:left w:val="single" w:sz="4" w:space="0" w:color="000000"/>
              <w:bottom w:val="single" w:sz="4" w:space="0" w:color="000000"/>
              <w:right w:val="single" w:sz="4" w:space="0" w:color="000000"/>
            </w:tcBorders>
          </w:tcPr>
          <w:p>
            <w:pPr>
              <w:pStyle w:val="TableContents"/>
              <w:jc w:val="center"/>
              <w:rPr/>
            </w:pPr>
            <w:r>
              <w:rPr/>
              <w:t>7.8</w:t>
            </w:r>
          </w:p>
        </w:tc>
        <w:tc>
          <w:tcPr>
            <w:tcW w:w="114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07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73" w:type="dxa"/>
            <w:tcBorders>
              <w:left w:val="single" w:sz="4" w:space="0" w:color="000000"/>
              <w:bottom w:val="single" w:sz="4" w:space="0" w:color="000000"/>
              <w:right w:val="single" w:sz="4" w:space="0" w:color="000000"/>
            </w:tcBorders>
          </w:tcPr>
          <w:p>
            <w:pPr>
              <w:pStyle w:val="Normal"/>
              <w:jc w:val="center"/>
              <w:rPr>
                <w:rFonts w:ascii="Arial" w:hAnsi="Arial" w:cs="Arial"/>
                <w:sz w:val="24"/>
              </w:rPr>
            </w:pPr>
            <w:r>
              <w:rPr>
                <w:rFonts w:cs="Arial" w:ascii="Arial" w:hAnsi="Arial"/>
                <w:sz w:val="24"/>
              </w:rPr>
              <w:t>10</w:t>
            </w:r>
          </w:p>
        </w:tc>
        <w:tc>
          <w:tcPr>
            <w:tcW w:w="915" w:type="dxa"/>
            <w:tcBorders>
              <w:left w:val="single" w:sz="4" w:space="0" w:color="000000"/>
              <w:bottom w:val="single" w:sz="4" w:space="0" w:color="000000"/>
              <w:right w:val="single" w:sz="4" w:space="0" w:color="000000"/>
            </w:tcBorders>
          </w:tcPr>
          <w:p>
            <w:pPr>
              <w:pStyle w:val="TableContents"/>
              <w:jc w:val="center"/>
              <w:rPr/>
            </w:pPr>
            <w:r>
              <w:rPr/>
              <w:t>40</w:t>
            </w:r>
          </w:p>
        </w:tc>
        <w:tc>
          <w:tcPr>
            <w:tcW w:w="851" w:type="dxa"/>
            <w:tcBorders>
              <w:left w:val="single" w:sz="4" w:space="0" w:color="000000"/>
              <w:bottom w:val="single" w:sz="4" w:space="0" w:color="000000"/>
              <w:right w:val="single" w:sz="4" w:space="0" w:color="000000"/>
            </w:tcBorders>
          </w:tcPr>
          <w:p>
            <w:pPr>
              <w:pStyle w:val="TableContents"/>
              <w:jc w:val="center"/>
              <w:rPr/>
            </w:pPr>
            <w:r>
              <w:rPr/>
              <w:t>4.01</w:t>
            </w:r>
          </w:p>
        </w:tc>
        <w:tc>
          <w:tcPr>
            <w:tcW w:w="992" w:type="dxa"/>
            <w:tcBorders>
              <w:left w:val="single" w:sz="4" w:space="0" w:color="000000"/>
              <w:bottom w:val="single" w:sz="4" w:space="0" w:color="000000"/>
              <w:right w:val="single" w:sz="4" w:space="0" w:color="000000"/>
            </w:tcBorders>
          </w:tcPr>
          <w:p>
            <w:pPr>
              <w:pStyle w:val="TableContents"/>
              <w:jc w:val="center"/>
              <w:rPr/>
            </w:pPr>
            <w:r>
              <w:rPr/>
              <w:t>7.85</w:t>
            </w:r>
          </w:p>
        </w:tc>
        <w:tc>
          <w:tcPr>
            <w:tcW w:w="114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07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rPr>
          <w:rFonts w:ascii="Arial" w:hAnsi="Arial" w:cs="Arial"/>
          <w:sz w:val="24"/>
        </w:rPr>
      </w:pPr>
      <w:r>
        <w:rPr>
          <w:rFonts w:cs="Arial" w:ascii="Arial" w:hAnsi="Arial"/>
          <w:sz w:val="24"/>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4685665" cy="33521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4685665" cy="3352165"/>
                    </a:xfrm>
                    <a:prstGeom prst="rect">
                      <a:avLst/>
                    </a:prstGeom>
                  </pic:spPr>
                </pic:pic>
              </a:graphicData>
            </a:graphic>
          </wp:anchor>
        </w:drawing>
      </w:r>
    </w:p>
    <w:sectPr>
      <w:type w:val="nextPage"/>
      <w:pgSz w:w="12240" w:h="15840"/>
      <w:pgMar w:left="1134" w:right="56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Tahoma">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1080"/>
        </w:tabs>
        <w:ind w:left="1080"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Times New Roman" w:cs="Times New Roman"/>
      <w:color w:val="auto"/>
      <w:sz w:val="20"/>
      <w:szCs w:val="20"/>
      <w:lang w:val="ro-RO" w:bidi="ar-SA" w:eastAsia="zh-CN"/>
    </w:rPr>
  </w:style>
  <w:style w:type="paragraph" w:styleId="Heading1">
    <w:name w:val="Heading 1"/>
    <w:basedOn w:val="Normal"/>
    <w:next w:val="Normal"/>
    <w:qFormat/>
    <w:pPr>
      <w:keepNext w:val="true"/>
      <w:numPr>
        <w:ilvl w:val="0"/>
        <w:numId w:val="1"/>
      </w:numPr>
      <w:jc w:val="both"/>
      <w:outlineLvl w:val="0"/>
    </w:pPr>
    <w:rPr>
      <w:rFonts w:ascii="Arial" w:hAnsi="Arial" w:cs="Arial"/>
      <w:b/>
      <w:sz w:val="24"/>
    </w:rPr>
  </w:style>
  <w:style w:type="paragraph" w:styleId="Heading2">
    <w:name w:val="Heading 2"/>
    <w:basedOn w:val="Normal"/>
    <w:next w:val="Normal"/>
    <w:qFormat/>
    <w:pPr>
      <w:keepNext w:val="true"/>
      <w:numPr>
        <w:ilvl w:val="1"/>
        <w:numId w:val="1"/>
      </w:numPr>
      <w:jc w:val="both"/>
      <w:outlineLvl w:val="1"/>
    </w:pPr>
    <w:rPr>
      <w:rFonts w:ascii="Arial" w:hAnsi="Arial" w:cs="Arial"/>
      <w:b/>
      <w:sz w:val="24"/>
      <w:u w:val="single"/>
    </w:rPr>
  </w:style>
  <w:style w:type="character" w:styleId="WW8Num1z0">
    <w:name w:val="WW8Num1z0"/>
    <w:qFormat/>
    <w:rPr/>
  </w:style>
  <w:style w:type="character" w:styleId="DefaultParagraphFont">
    <w:name w:val="Default Paragraph Font"/>
    <w:qFormat/>
    <w:rPr/>
  </w:style>
  <w:style w:type="paragraph" w:styleId="Heading">
    <w:name w:val="Heading"/>
    <w:basedOn w:val="Normal"/>
    <w:next w:val="TextBody"/>
    <w:qFormat/>
    <w:pPr>
      <w:jc w:val="center"/>
    </w:pPr>
    <w:rPr>
      <w:rFonts w:ascii="Arial" w:hAnsi="Arial" w:cs="Arial"/>
      <w:b/>
      <w:sz w:val="32"/>
      <w:u w:val="single"/>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next w:val="Normal"/>
    <w:qFormat/>
    <w:pPr>
      <w:spacing w:before="120" w:after="120"/>
    </w:pPr>
    <w:rPr>
      <w:b/>
      <w:bCs/>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Subtitle">
    <w:name w:val="Subtitle"/>
    <w:basedOn w:val="Normal"/>
    <w:next w:val="TextBody"/>
    <w:qFormat/>
    <w:pPr>
      <w:jc w:val="both"/>
    </w:pPr>
    <w:rPr>
      <w:rFonts w:ascii="Arial" w:hAnsi="Arial" w:cs="Arial"/>
      <w:b/>
      <w:sz w:val="24"/>
    </w:rPr>
  </w:style>
  <w:style w:type="paragraph" w:styleId="DocumentMap">
    <w:name w:val="Document Map"/>
    <w:basedOn w:val="Normal"/>
    <w:qFormat/>
    <w:pPr>
      <w:shd w:fill="000080" w:val="clear"/>
    </w:pPr>
    <w:rPr>
      <w:rFonts w:ascii="Tahoma" w:hAnsi="Tahoma"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47</TotalTime>
  <Application>LibreOffice/7.3.7.2$Linux_X86_64 LibreOffice_project/30$Build-2</Application>
  <AppVersion>15.0000</AppVersion>
  <Pages>3</Pages>
  <Words>538</Words>
  <Characters>3088</Characters>
  <CharactersWithSpaces>3609</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2004-10-23T15:21:00Z</dcterms:created>
  <dc:creator/>
  <dc:description/>
  <cp:keywords/>
  <dc:language>en-US</dc:language>
  <cp:lastModifiedBy/>
  <cp:lastPrinted>2003-01-17T13:14:00Z</cp:lastPrinted>
  <dcterms:modified xsi:type="dcterms:W3CDTF">2026-01-07T02:55:09Z</dcterms:modified>
  <cp:revision>17</cp:revision>
  <dc:subject/>
  <dc:title>Dependenţa de temperatură a rezistivităţii electrice a metalelor</dc:title>
</cp:coreProperties>
</file>