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Times New Roman" w:cs="Times New Roman" w:eastAsia="Times New Roman" w:hAnsi="Times New Roman"/>
          <w:b/>
          <w:bCs/>
          <w:sz w:val="32"/>
          <w:szCs w:val="32"/>
        </w:rPr>
        <w:t xml:space="preserve">Image-based Dot Pattern Enhancement Algorithm for Hotspot-free Colored Photovoltaic Modules: Design Methodology and Experimental Validation</w:t>
      </w:r>
    </w:p>
    <w:p>
      <w:pPr>
        <w:spacing w:after="100"/>
        <w:jc w:val="center"/>
      </w:pPr>
      <w:r>
        <w:rPr>
          <w:rFonts w:ascii="Times New Roman" w:cs="Times New Roman" w:eastAsia="Times New Roman" w:hAnsi="Times New Roman"/>
          <w:sz w:val="24"/>
          <w:szCs w:val="24"/>
        </w:rPr>
        <w:t xml:space="preserve">Qianning Zhang</w:t>
      </w:r>
      <w:r>
        <w:rPr>
          <w:rFonts w:ascii="Times New Roman" w:cs="Times New Roman" w:eastAsia="Times New Roman" w:hAnsi="Times New Roman"/>
          <w:sz w:val="24"/>
          <w:szCs w:val="24"/>
          <w:vertAlign w:val="superscript"/>
        </w:rPr>
        <w:t xml:space="preserve">a</w:t>
      </w:r>
      <w:r>
        <w:rPr>
          <w:rFonts w:ascii="Times New Roman" w:cs="Times New Roman" w:eastAsia="Times New Roman" w:hAnsi="Times New Roman"/>
          <w:sz w:val="24"/>
          <w:szCs w:val="24"/>
        </w:rPr>
        <w:t xml:space="preserve">, Tianyi Chen</w:t>
      </w:r>
      <w:r>
        <w:rPr>
          <w:rFonts w:ascii="Times New Roman" w:cs="Times New Roman" w:eastAsia="Times New Roman" w:hAnsi="Times New Roman"/>
          <w:sz w:val="24"/>
          <w:szCs w:val="24"/>
          <w:vertAlign w:val="superscript"/>
        </w:rPr>
        <w:t xml:space="preserve">a,*</w:t>
      </w:r>
      <w:r>
        <w:rPr>
          <w:rFonts w:ascii="Times New Roman" w:cs="Times New Roman" w:eastAsia="Times New Roman" w:hAnsi="Times New Roman"/>
          <w:sz w:val="24"/>
          <w:szCs w:val="24"/>
        </w:rPr>
        <w:t xml:space="preserve">, Yaning An</w:t>
      </w:r>
      <w:r>
        <w:rPr>
          <w:rFonts w:ascii="Times New Roman" w:cs="Times New Roman" w:eastAsia="Times New Roman" w:hAnsi="Times New Roman"/>
          <w:sz w:val="24"/>
          <w:szCs w:val="24"/>
          <w:vertAlign w:val="superscript"/>
        </w:rPr>
        <w:t xml:space="preserve">a</w:t>
      </w:r>
    </w:p>
    <w:p>
      <w:pPr>
        <w:spacing w:after="100"/>
        <w:jc w:val="center"/>
      </w:pPr>
      <w:r>
        <w:rPr>
          <w:rFonts w:ascii="Times New Roman" w:cs="Times New Roman" w:eastAsia="Times New Roman" w:hAnsi="Times New Roman"/>
          <w:sz w:val="24"/>
          <w:szCs w:val="24"/>
          <w:vertAlign w:val="superscript"/>
        </w:rPr>
        <w:t xml:space="preserve">a</w:t>
      </w:r>
      <w:r>
        <w:rPr>
          <w:rFonts w:ascii="Times New Roman" w:cs="Times New Roman" w:eastAsia="Times New Roman" w:hAnsi="Times New Roman"/>
          <w:i/>
          <w:iCs/>
          <w:sz w:val="20"/>
          <w:szCs w:val="20"/>
        </w:rPr>
        <w:t xml:space="preserve"> Power Facade Pte. Ltd., 3 Wallich Street, Singapore 078882</w:t>
      </w:r>
    </w:p>
    <w:p>
      <w:pPr>
        <w:spacing w:after="400"/>
        <w:jc w:val="center"/>
      </w:pPr>
      <w:r>
        <w:rPr>
          <w:rFonts w:ascii="Times New Roman" w:cs="Times New Roman" w:eastAsia="Times New Roman" w:hAnsi="Times New Roman"/>
          <w:i/>
          <w:iCs/>
          <w:sz w:val="20"/>
          <w:szCs w:val="20"/>
        </w:rPr>
        <w:t xml:space="preserve">* Corresponding author. E-mail: tianyi.chen1001@gmail.com</w:t>
      </w:r>
    </w:p>
    <w:p>
      <w:pPr>
        <w:pStyle w:val="Heading1"/>
        <w:spacing w:after="200" w:before="400"/>
      </w:pPr>
      <w:r>
        <w:rPr>
          <w:rFonts w:ascii="Times New Roman" w:cs="Times New Roman" w:eastAsia="Times New Roman" w:hAnsi="Times New Roman"/>
          <w:b/>
          <w:bCs/>
          <w:sz w:val="28"/>
          <w:szCs w:val="28"/>
        </w:rPr>
        <w:t xml:space="preserve">Abstract</w:t>
      </w:r>
    </w:p>
    <w:p>
      <w:pPr>
        <w:spacing w:after="200" w:line="360"/>
        <w:jc w:val="both"/>
      </w:pPr>
      <w:r>
        <w:rPr>
          <w:rFonts w:ascii="Times New Roman" w:cs="Times New Roman" w:eastAsia="Times New Roman" w:hAnsi="Times New Roman"/>
          <w:sz w:val="24"/>
          <w:szCs w:val="24"/>
        </w:rPr>
        <w:t xml:space="preserve">Building-integrated photovoltaics (BIPV) require modules that balance energy generation with architectural aesthetics. However, existing colored photovoltaic (PV) approaches suffer from either severe efficiency degradation or limited design customizability, and the hotspot risk caused by non-uniform color coverage across cells remains largely unaddressed. This study presents an image-based dot pattern enhancement algorithm that converts arbitrary input images into vectorized dot-matrix patterns for colored PV module fabrication. The algorithm ensures uniform pattern distribution across individual solar cells, thereby mitigating the hotspot effect inherent in conventional full-color printing methods. Lab-scale testing at the Solar Energy Research Institute of Singapore (SERIS) using Class A+A+A+ solar simulators demonstrated that modules processed with the proposed algorithm achieved efficiencies of 12.73–14.50% at Standard Test Conditions (STC), corresponding to a relative efficiency loss of only 12.64–23.47% compared to the uncolored baseline (16.63%). In contrast, the conventional full-color printed module exhibited only 1.95% efficiency with 88.27% relative loss. Product-scale validation using four full-size modules (1750 mm × 1150 mm) with P-TopCon bifacial cells confirmed consistent performance, with the best module (EG-PF2) achieving 14.50% STC efficiency and a relative loss of only 27.56% compared to commercial colored PV modules at 43% relative loss. Temperature coefficient analysis revealed favorable thermal stability across all modules. The proposed methodology demonstrates that algorithmically designed dot patterns can simultaneously achieve aesthetic customization, hotspot elimination, and significantly reduced efficiency loss, providing a viable pathway for large-scale deployment of colored BIPV modules in architectural applications.</w:t>
      </w:r>
    </w:p>
    <w:p>
      <w:pPr>
        <w:spacing w:after="20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Building-integrated photovoltaics; Colored PV modules; Dot pattern algorithm; Hotspot mitigation; Aesthetic photovoltaics; BIPV facade</w:t>
      </w:r>
    </w:p>
    <w:p>
      <w:r>
        <w:br w:type="page"/>
      </w:r>
    </w:p>
    <w:p>
      <w:pPr>
        <w:pStyle w:val="Heading1"/>
        <w:spacing w:after="200" w:before="400"/>
      </w:pPr>
      <w:r>
        <w:rPr>
          <w:rFonts w:ascii="Times New Roman" w:cs="Times New Roman" w:eastAsia="Times New Roman" w:hAnsi="Times New Roman"/>
          <w:b/>
          <w:bCs/>
          <w:sz w:val="28"/>
          <w:szCs w:val="28"/>
        </w:rPr>
        <w:t xml:space="preserve">1. Introduction</w:t>
      </w:r>
    </w:p>
    <w:p>
      <w:pPr>
        <w:spacing w:after="200" w:line="360"/>
        <w:ind w:firstLine="480"/>
        <w:jc w:val="both"/>
      </w:pPr>
      <w:r>
        <w:rPr>
          <w:rFonts w:ascii="Times New Roman" w:cs="Times New Roman" w:eastAsia="Times New Roman" w:hAnsi="Times New Roman"/>
          <w:sz w:val="24"/>
          <w:szCs w:val="24"/>
        </w:rPr>
        <w:t xml:space="preserve">The global imperative for carbon neutrality has placed the building sector—responsible for over one-third of total energy consumption—at the forefront of the sustainable energy transition [1]. Building-integrated photovoltaics (BIPV), which seamlessly incorporate photovoltaic elements into the building envelope as functional construction materials, represent a promising strategy for achieving on-site renewable energy generation while utilizing otherwise passive surfaces [2,3]. Unlike conventional building-applied photovoltaics (BAPV), which are merely attached to building surfaces, BIPV systems serve dual functions as both energy generators and architectural components, offering weather protection, thermal insulation, and aesthetic enhancement [4,5].</w:t>
      </w:r>
    </w:p>
    <w:p>
      <w:pPr>
        <w:spacing w:after="200" w:line="360"/>
        <w:ind w:firstLine="480"/>
        <w:jc w:val="both"/>
      </w:pPr>
      <w:r>
        <w:rPr>
          <w:rFonts w:ascii="Times New Roman" w:cs="Times New Roman" w:eastAsia="Times New Roman" w:hAnsi="Times New Roman"/>
          <w:sz w:val="24"/>
          <w:szCs w:val="24"/>
        </w:rPr>
        <w:t xml:space="preserve">Despite the rapid cost reduction of PV modules—exceeding 90% since 2014 [6]—the widespread adoption of BIPV in urban environments remains constrained by aesthetic considerations. Traditional monocrystalline and polycrystalline silicon modules, characterized by their uniform dark blue or black appearance, often conflict with architectural design intentions, particularly in heritage districts and high-profile commercial buildings [7,8]. Studies on the social acceptance of BIPV have consistently demonstrated that colored PV modules that blend harmoniously with building facades significantly improve public acceptance compared to conventional panels [9]. The European Union’s 2024 revision of the Energy Performance of Buildings Directive (EPBD), which mandates solar energy systems on new buildings from 2027–2030, further underscores the urgent need for aesthetically versatile PV solutions [10].</w:t>
      </w:r>
    </w:p>
    <w:p>
      <w:pPr>
        <w:spacing w:after="200" w:line="360"/>
        <w:ind w:firstLine="480"/>
        <w:jc w:val="both"/>
      </w:pPr>
      <w:r>
        <w:rPr>
          <w:rFonts w:ascii="Times New Roman" w:cs="Times New Roman" w:eastAsia="Times New Roman" w:hAnsi="Times New Roman"/>
          <w:sz w:val="24"/>
          <w:szCs w:val="24"/>
        </w:rPr>
        <w:t xml:space="preserve">Current approaches to colored PV modules can be broadly categorized into several technological pathways. Structural color technologies, exemplified by Fraunhofer ISE’s MorphoColor® coating inspired by Morpho butterfly wings, utilize multilayer dielectric thin films to produce vivid colors through optical interference while maintaining high efficiency (approximately 93–95% of the uncolored module’s output) [11,12]. However, these technologies are largely limited to uniform color panels and do not support complex image-based customization. Colored glass overlays provide another route but impose substantial efficiency penalties; our testing shows that simply covering a standard module with colored glass reduces efficiency by approximately 28% [13]. Full-color digital printing on module glass offers the highest design freedom but results in catastrophic efficiency loss, as the pigments block virtually all incident light from reaching the solar cells [14].</w:t>
      </w:r>
    </w:p>
    <w:p>
      <w:pPr>
        <w:spacing w:after="200" w:line="360"/>
        <w:ind w:firstLine="480"/>
        <w:jc w:val="both"/>
      </w:pPr>
      <w:r>
        <w:rPr>
          <w:rFonts w:ascii="Times New Roman" w:cs="Times New Roman" w:eastAsia="Times New Roman" w:hAnsi="Times New Roman"/>
          <w:sz w:val="24"/>
          <w:szCs w:val="24"/>
        </w:rPr>
        <w:t xml:space="preserve">A critical yet often overlooked challenge in colored PV module design is the hotspot effect. When color printing coverage varies across individual cells within a module—as inevitably occurs with complex, non-repeating artwork—cells receiving less irradiance become reverse-biased during operation, potentially leading to localized overheating, accelerated degradation, and in extreme cases, safety hazards [15,16]. Existing colored PV products based on full-print or artistic images rarely address this fundamental reliability concern systematically.</w:t>
      </w:r>
    </w:p>
    <w:p>
      <w:pPr>
        <w:spacing w:after="200" w:line="360"/>
        <w:ind w:firstLine="480"/>
        <w:jc w:val="both"/>
      </w:pPr>
      <w:r>
        <w:rPr>
          <w:rFonts w:ascii="Times New Roman" w:cs="Times New Roman" w:eastAsia="Times New Roman" w:hAnsi="Times New Roman"/>
          <w:sz w:val="24"/>
          <w:szCs w:val="24"/>
        </w:rPr>
        <w:t xml:space="preserve">To address these interrelated challenges of aesthetic customization, efficiency preservation, and hotspot mitigation, this study proposes an image-based dot pattern enhancement algorithm for colored PV modules. The core innovation lies in a computational design methodology that: (1) converts arbitrary input images into vectorized dot-matrix patterns through pixel-level analysis and geometric transformation; (2) ensures each solar cell within a module receives approximately uniform pattern coverage, thereby eliminating the hotspot risk at the design stage; and (3) optimizes dot density, size, and spacing to maximize light penetration to the underlying cells while maintaining visual recognizability of the original image. The algorithm is implemented within a parametric design environment (Rhinoceros/Grasshopper) and has been validated through comprehensive electrical testing at both lab-scale (at SERIS) and product-scale (using Class A+A+A+ flash testers), demonstrating that aesthetically customized colored PV modules can achieve efficiencies within 12–20% of standard uncolored panels while being inherently hotspot-free.</w:t>
      </w:r>
    </w:p>
    <w:p>
      <w:r>
        <w:br w:type="page"/>
      </w:r>
    </w:p>
    <w:p>
      <w:pPr>
        <w:pStyle w:val="Heading1"/>
        <w:spacing w:after="200" w:before="400"/>
      </w:pPr>
      <w:r>
        <w:rPr>
          <w:rFonts w:ascii="Times New Roman" w:cs="Times New Roman" w:eastAsia="Times New Roman" w:hAnsi="Times New Roman"/>
          <w:b/>
          <w:bCs/>
          <w:sz w:val="28"/>
          <w:szCs w:val="28"/>
        </w:rPr>
        <w:t xml:space="preserve">2. Methodology</w:t>
      </w:r>
    </w:p>
    <w:p>
      <w:pPr>
        <w:pStyle w:val="Heading2"/>
        <w:spacing w:after="200" w:before="300"/>
      </w:pPr>
      <w:r>
        <w:rPr>
          <w:rFonts w:ascii="Times New Roman" w:cs="Times New Roman" w:eastAsia="Times New Roman" w:hAnsi="Times New Roman"/>
          <w:b/>
          <w:bCs/>
          <w:sz w:val="26"/>
          <w:szCs w:val="26"/>
        </w:rPr>
        <w:t xml:space="preserve">2.1. Image-based dot pattern enhancement algorithm</w:t>
      </w:r>
    </w:p>
    <w:p>
      <w:pPr>
        <w:spacing w:after="200" w:line="360"/>
        <w:ind w:firstLine="480"/>
        <w:jc w:val="both"/>
      </w:pPr>
      <w:r>
        <w:rPr>
          <w:rFonts w:ascii="Times New Roman" w:cs="Times New Roman" w:eastAsia="Times New Roman" w:hAnsi="Times New Roman"/>
          <w:sz w:val="24"/>
          <w:szCs w:val="24"/>
        </w:rPr>
        <w:t xml:space="preserve">The proposed algorithm transforms arbitrary input images into dot-matrix vector patterns suitable for photovoltaic module fabrication. The workflow, illustrated in Fig. 1, comprises seven sequential steps, each targeting specific aspects of the aesthetics-efficiency-reliability triad.</w:t>
      </w:r>
    </w:p>
    <w:p>
      <w:pPr>
        <w:spacing w:after="200" w:line="360"/>
        <w:ind w:firstLine="480"/>
        <w:jc w:val="both"/>
      </w:pPr>
      <w:r>
        <w:rPr>
          <w:rFonts w:ascii="Times New Roman" w:cs="Times New Roman" w:eastAsia="Times New Roman" w:hAnsi="Times New Roman"/>
          <w:b/>
          <w:bCs/>
          <w:sz w:val="24"/>
          <w:szCs w:val="24"/>
        </w:rPr>
        <w:t xml:space="preserve">Step 1: Image input and pixel data extraction. </w:t>
      </w:r>
      <w:r>
        <w:rPr>
          <w:rFonts w:ascii="Times New Roman" w:cs="Times New Roman" w:eastAsia="Times New Roman" w:hAnsi="Times New Roman"/>
          <w:sz w:val="24"/>
          <w:szCs w:val="24"/>
        </w:rPr>
        <w:t xml:space="preserve">The process begins with importing a customer- or architect-specified image into the parametric design environment (Rhinoceros 7 with Grasshopper). The image is analyzed at the pixel level using custom Python script components within Grasshopper, extracting color intensity and distribution data across the image domain. The resolution of the input image directly influences the fidelity of the final dot pattern.</w:t>
      </w:r>
    </w:p>
    <w:p>
      <w:pPr>
        <w:spacing w:after="200" w:line="360"/>
        <w:ind w:firstLine="480"/>
        <w:jc w:val="both"/>
      </w:pPr>
      <w:r>
        <w:rPr>
          <w:rFonts w:ascii="Times New Roman" w:cs="Times New Roman" w:eastAsia="Times New Roman" w:hAnsi="Times New Roman"/>
          <w:b/>
          <w:bCs/>
          <w:sz w:val="24"/>
          <w:szCs w:val="24"/>
        </w:rPr>
        <w:t xml:space="preserve">Step 2: Dot pattern selection. </w:t>
      </w:r>
      <w:r>
        <w:rPr>
          <w:rFonts w:ascii="Times New Roman" w:cs="Times New Roman" w:eastAsia="Times New Roman" w:hAnsi="Times New Roman"/>
          <w:sz w:val="24"/>
          <w:szCs w:val="24"/>
        </w:rPr>
        <w:t xml:space="preserve">Three base patterns are available, each inspired by different architectural traditions: Pattern 1 derives from heritage architectural motifs (e.g., Peranakan tile patterns), Pattern 2 features repetitive geometric designs inspired by modern architecture, and Pattern 3 incorporates organic, nature-inspired curved lines. These base patterns define the fundamental dot arrangement geometry within each repeating unit.</w:t>
      </w:r>
    </w:p>
    <w:p>
      <w:pPr>
        <w:spacing w:after="200" w:line="360"/>
        <w:ind w:firstLine="480"/>
        <w:jc w:val="both"/>
      </w:pPr>
      <w:r>
        <w:rPr>
          <w:rFonts w:ascii="Times New Roman" w:cs="Times New Roman" w:eastAsia="Times New Roman" w:hAnsi="Times New Roman"/>
          <w:b/>
          <w:bCs/>
          <w:sz w:val="24"/>
          <w:szCs w:val="24"/>
        </w:rPr>
        <w:t xml:space="preserve">Step 3: Hotspot mitigation through per-cell pattern uniformity. </w:t>
      </w:r>
      <w:r>
        <w:rPr>
          <w:rFonts w:ascii="Times New Roman" w:cs="Times New Roman" w:eastAsia="Times New Roman" w:hAnsi="Times New Roman"/>
          <w:sz w:val="24"/>
          <w:szCs w:val="24"/>
        </w:rPr>
        <w:t xml:space="preserve">This is the critical step for ensuring module reliability. The algorithm assigns pattern coverage to each individual solar cell such that all cells within the module receive approximately uniform shading. Rather than mapping the input image directly across the entire module surface—which would result in highly non-uniform coverage between cells—the algorithm distributes the pattern so that each cell’s color coverage percentage falls within a narrow tolerance band. This design-level uniformity ensures that all cells generate comparable photocurrent during operation, preventing reverse-bias conditions and the resulting hotspot effect.</w:t>
      </w:r>
    </w:p>
    <w:p>
      <w:pPr>
        <w:spacing w:after="200" w:line="360"/>
        <w:ind w:firstLine="480"/>
        <w:jc w:val="both"/>
      </w:pPr>
      <w:r>
        <w:rPr>
          <w:rFonts w:ascii="Times New Roman" w:cs="Times New Roman" w:eastAsia="Times New Roman" w:hAnsi="Times New Roman"/>
          <w:b/>
          <w:bCs/>
          <w:sz w:val="24"/>
          <w:szCs w:val="24"/>
        </w:rPr>
        <w:t xml:space="preserve">Step 4: Pattern tiling and arrangement. </w:t>
      </w:r>
      <w:r>
        <w:rPr>
          <w:rFonts w:ascii="Times New Roman" w:cs="Times New Roman" w:eastAsia="Times New Roman" w:hAnsi="Times New Roman"/>
          <w:sz w:val="24"/>
          <w:szCs w:val="24"/>
        </w:rPr>
        <w:t xml:space="preserve">The repeated patterns are tiled across the module surface according to the PV cell dimensions (182 mm × 182 mm). Multiple tiling configurations are available: one pattern per cell, or subdivisions of 4, 9, or 16 pattern units per cell, enabling different levels of pattern detail and visual complexity.</w:t>
      </w:r>
    </w:p>
    <w:p>
      <w:pPr>
        <w:spacing w:after="200" w:line="360"/>
        <w:ind w:firstLine="480"/>
        <w:jc w:val="both"/>
      </w:pPr>
      <w:r>
        <w:rPr>
          <w:rFonts w:ascii="Times New Roman" w:cs="Times New Roman" w:eastAsia="Times New Roman" w:hAnsi="Times New Roman"/>
          <w:b/>
          <w:bCs/>
          <w:sz w:val="24"/>
          <w:szCs w:val="24"/>
        </w:rPr>
        <w:t xml:space="preserve">Step 5: Dot size adjustment for viewing distance. </w:t>
      </w:r>
      <w:r>
        <w:rPr>
          <w:rFonts w:ascii="Times New Roman" w:cs="Times New Roman" w:eastAsia="Times New Roman" w:hAnsi="Times New Roman"/>
          <w:sz w:val="24"/>
          <w:szCs w:val="24"/>
        </w:rPr>
        <w:t xml:space="preserve">Dot dimensions are calibrated based on the intended viewing distance: “Graphic Oriented” for close-range viewing (~5 m), where individual dots remain perceptible and the image is highly detailed; “Balanced Oriented” for medium distances (~10 m), offering a compromise between image clarity and light penetration; and “Energy Oriented” for long-range viewing (~25 m), where smaller dots maximize sunlight transmission while the overall image remains recognizable from afar. The LunchBox plugin for Grasshopper introduces controlled randomization in dot sizing within a specified range, preventing regular moiré patterns and enhancing visual naturalness.</w:t>
      </w:r>
    </w:p>
    <w:p>
      <w:pPr>
        <w:spacing w:after="200" w:line="360"/>
        <w:ind w:firstLine="480"/>
        <w:jc w:val="both"/>
      </w:pPr>
      <w:r>
        <w:rPr>
          <w:rFonts w:ascii="Times New Roman" w:cs="Times New Roman" w:eastAsia="Times New Roman" w:hAnsi="Times New Roman"/>
          <w:b/>
          <w:bCs/>
          <w:sz w:val="24"/>
          <w:szCs w:val="24"/>
        </w:rPr>
        <w:t xml:space="preserve">Step 6: Spectral color optimization. </w:t>
      </w:r>
      <w:r>
        <w:rPr>
          <w:rFonts w:ascii="Times New Roman" w:cs="Times New Roman" w:eastAsia="Times New Roman" w:hAnsi="Times New Roman"/>
          <w:sz w:val="24"/>
          <w:szCs w:val="24"/>
        </w:rPr>
        <w:t xml:space="preserve">The colors of the printed dots are manually adjusted to optimize spectral compatibility with the underlying solar cell technology. Colors that transmit wavelengths within the peak absorption range of silicon (approximately 400–1100 nm) are preferentially retained, while opaque or highly absorptive pigments are minimized. This step allows color fidelity to be balanced against energy production on a per-project basis.</w:t>
      </w:r>
    </w:p>
    <w:p>
      <w:pPr>
        <w:spacing w:after="200" w:line="360"/>
        <w:ind w:firstLine="480"/>
        <w:jc w:val="both"/>
      </w:pPr>
      <w:r>
        <w:rPr>
          <w:rFonts w:ascii="Times New Roman" w:cs="Times New Roman" w:eastAsia="Times New Roman" w:hAnsi="Times New Roman"/>
          <w:b/>
          <w:bCs/>
          <w:sz w:val="24"/>
          <w:szCs w:val="24"/>
        </w:rPr>
        <w:t xml:space="preserve">Step 7: Output generation. </w:t>
      </w:r>
      <w:r>
        <w:rPr>
          <w:rFonts w:ascii="Times New Roman" w:cs="Times New Roman" w:eastAsia="Times New Roman" w:hAnsi="Times New Roman"/>
          <w:sz w:val="24"/>
          <w:szCs w:val="24"/>
        </w:rPr>
        <w:t xml:space="preserve">The finalized vector pattern is exported as production-ready files for the ceramic printing process on tempered glass. The gap regions between dots serve as transparent apertures through which unobstructed sunlight reaches the PV cells, while the printed dots create the visible colored pattern.</w:t>
      </w:r>
    </w:p>
    <w:p>
      <w:pPr>
        <w:spacing w:after="200" w:line="360"/>
        <w:jc w:val="center"/>
      </w:pPr>
      <w:r>
        <w:rPr>
          <w:rFonts w:ascii="Times New Roman" w:cs="Times New Roman" w:eastAsia="Times New Roman" w:hAnsi="Times New Roman"/>
          <w:i/>
          <w:iCs/>
          <w:sz w:val="24"/>
          <w:szCs w:val="24"/>
        </w:rPr>
        <w:t xml:space="preserve">[Fig. 1. Workflow of the image-based dot pattern enhancement algorithm for colored PV module design. Placeholder – to be replaced with high-resolution figure.]</w:t>
      </w:r>
    </w:p>
    <w:p>
      <w:pPr>
        <w:pStyle w:val="Heading2"/>
        <w:spacing w:after="200" w:before="300"/>
      </w:pPr>
      <w:r>
        <w:rPr>
          <w:rFonts w:ascii="Times New Roman" w:cs="Times New Roman" w:eastAsia="Times New Roman" w:hAnsi="Times New Roman"/>
          <w:b/>
          <w:bCs/>
          <w:sz w:val="26"/>
          <w:szCs w:val="26"/>
        </w:rPr>
        <w:t xml:space="preserve">2.2. Module fabrication</w:t>
      </w:r>
    </w:p>
    <w:p>
      <w:pPr>
        <w:pStyle w:val="Heading3"/>
        <w:spacing w:after="200" w:before="300"/>
      </w:pPr>
      <w:r>
        <w:rPr>
          <w:rFonts w:ascii="Times New Roman" w:cs="Times New Roman" w:eastAsia="Times New Roman" w:hAnsi="Times New Roman"/>
          <w:b/>
          <w:bCs/>
          <w:sz w:val="26"/>
          <w:szCs w:val="26"/>
        </w:rPr>
        <w:t xml:space="preserve">2.2.1. Lab-scale modules</w:t>
      </w:r>
    </w:p>
    <w:p>
      <w:pPr>
        <w:spacing w:after="200" w:line="360"/>
        <w:ind w:firstLine="480"/>
        <w:jc w:val="both"/>
      </w:pPr>
      <w:r>
        <w:rPr>
          <w:rFonts w:ascii="Times New Roman" w:cs="Times New Roman" w:eastAsia="Times New Roman" w:hAnsi="Times New Roman"/>
          <w:sz w:val="24"/>
          <w:szCs w:val="24"/>
        </w:rPr>
        <w:t xml:space="preserve">Nine colored PV modules (designated M-1 through M-4, M-6 through M-9) and one uncolored baseline module (M-5) were fabricated for initial performance evaluation. Additionally, the baseline module was tested with a colored glass overlay (M-5C) to establish the performance penalty of conventional glass-based coloring approaches. The modules featured color coverage ratios ranging from 18.66% (M-3) to 100% (M-7, full-color print). All measurements were extrapolated to a standardized 60-cell module format (1.6 m × 1.0 m) to facilitate comparison with commercial modules.</w:t>
      </w:r>
    </w:p>
    <w:p>
      <w:pPr>
        <w:pStyle w:val="Heading3"/>
        <w:spacing w:after="200" w:before="300"/>
      </w:pPr>
      <w:r>
        <w:rPr>
          <w:rFonts w:ascii="Times New Roman" w:cs="Times New Roman" w:eastAsia="Times New Roman" w:hAnsi="Times New Roman"/>
          <w:b/>
          <w:bCs/>
          <w:sz w:val="26"/>
          <w:szCs w:val="26"/>
        </w:rPr>
        <w:t xml:space="preserve">2.2.2. Product-scale modules</w:t>
      </w:r>
    </w:p>
    <w:p>
      <w:pPr>
        <w:spacing w:after="200" w:line="360"/>
        <w:ind w:firstLine="480"/>
        <w:jc w:val="both"/>
      </w:pPr>
      <w:r>
        <w:rPr>
          <w:rFonts w:ascii="Times New Roman" w:cs="Times New Roman" w:eastAsia="Times New Roman" w:hAnsi="Times New Roman"/>
          <w:sz w:val="24"/>
          <w:szCs w:val="24"/>
        </w:rPr>
        <w:t xml:space="preserve">Four product-scale colored PV modules (EG-PF1 through EG-PF4) were manufactured to validate the algorithm at commercial dimensions. All modules shared identical construction specifications: double-glass frameless structure with 5 mm tempered colored glass (front) and 5 mm laminated transparent glass (rear), PVB encapsulant, P-TopCon monocrystalline bifacial half-cut cells (182 mm × 182 mm, 16 busbars), with module dimensions of 1750 mm × 1150 mm. The cells featured front efficiency ratings of 25.2–25.3% before module integration. Each module incorporated a different surface pattern design: EG-PF1 utilized a geometric dot pattern, EG-PF2 a wavy line pattern with color variations, EG-PF3 a flowing curve pattern, and EG-PF4 served as a reference with a less patterned design.</w:t>
      </w:r>
    </w:p>
    <w:p>
      <w:pPr>
        <w:pStyle w:val="Heading2"/>
        <w:spacing w:after="200" w:before="300"/>
      </w:pPr>
      <w:r>
        <w:rPr>
          <w:rFonts w:ascii="Times New Roman" w:cs="Times New Roman" w:eastAsia="Times New Roman" w:hAnsi="Times New Roman"/>
          <w:b/>
          <w:bCs/>
          <w:sz w:val="26"/>
          <w:szCs w:val="26"/>
        </w:rPr>
        <w:t xml:space="preserve">2.3. Testing and characterization</w:t>
      </w:r>
    </w:p>
    <w:p>
      <w:pPr>
        <w:pStyle w:val="Heading3"/>
        <w:spacing w:after="200" w:before="300"/>
      </w:pPr>
      <w:r>
        <w:rPr>
          <w:rFonts w:ascii="Times New Roman" w:cs="Times New Roman" w:eastAsia="Times New Roman" w:hAnsi="Times New Roman"/>
          <w:b/>
          <w:bCs/>
          <w:sz w:val="26"/>
          <w:szCs w:val="26"/>
        </w:rPr>
        <w:t xml:space="preserve">2.3.1. Lab-scale characterization</w:t>
      </w:r>
    </w:p>
    <w:p>
      <w:pPr>
        <w:spacing w:after="200" w:line="360"/>
        <w:ind w:firstLine="480"/>
        <w:jc w:val="both"/>
      </w:pPr>
      <w:r>
        <w:rPr>
          <w:rFonts w:ascii="Times New Roman" w:cs="Times New Roman" w:eastAsia="Times New Roman" w:hAnsi="Times New Roman"/>
          <w:sz w:val="24"/>
          <w:szCs w:val="24"/>
        </w:rPr>
        <w:t xml:space="preserve">Lab-scale electrical characterization was performed at the Solar Energy Research Institute of Singapore (SERIS) using two high-precision solar simulators: the Pasan SunSim 3B by Meyer Burger (10 ms pulse) and ModuleTest3 by h.a.l.m. (100 ms pulse). The combination of these two instruments enables the generation of “Golden module” certificates with a world-class measurement uncertainty of ±1.4% for maximum power. All measurements were conducted under Standard Test Conditions (STC): irradiance of 1000 W/m², AM1.5G spectrum, and cell temperature of 25°C.</w:t>
      </w:r>
    </w:p>
    <w:p>
      <w:pPr>
        <w:pStyle w:val="Heading3"/>
        <w:spacing w:after="200" w:before="300"/>
      </w:pPr>
      <w:r>
        <w:rPr>
          <w:rFonts w:ascii="Times New Roman" w:cs="Times New Roman" w:eastAsia="Times New Roman" w:hAnsi="Times New Roman"/>
          <w:b/>
          <w:bCs/>
          <w:sz w:val="26"/>
          <w:szCs w:val="26"/>
        </w:rPr>
        <w:t xml:space="preserve">2.3.2. Product-scale characterization</w:t>
      </w:r>
    </w:p>
    <w:p>
      <w:pPr>
        <w:spacing w:after="200" w:line="360"/>
        <w:ind w:firstLine="480"/>
        <w:jc w:val="both"/>
      </w:pPr>
      <w:r>
        <w:rPr>
          <w:rFonts w:ascii="Times New Roman" w:cs="Times New Roman" w:eastAsia="Times New Roman" w:hAnsi="Times New Roman"/>
          <w:sz w:val="24"/>
          <w:szCs w:val="24"/>
        </w:rPr>
        <w:t xml:space="preserve">Product-scale modules were tested using the CetisPV-Moduletest4-BF system (h.a.l.m.), a Class A+A+A+ high-precision laboratory tester. The system provides an illumination area of 2700 mm × 1600 mm with spectral match of 0.875–1.125 (Class A+), irradiance non-uniformity below 1% (Class A+), and temporal instability below 0.05% (Class A+). Current-voltage measurements achieved resolution below 0.004% FSR using three synchronous 16-bit channels, with temperature measured contactlessly via pyrometer (±0.5 K repeatability). Prior to testing, all modules underwent a standardized 4-hour light soaking pre-conditioning process under natural sunlight exceeding 800 W/m² to achieve electrochemical equilibrium.</w:t>
      </w:r>
    </w:p>
    <w:p>
      <w:r>
        <w:br w:type="page"/>
      </w:r>
    </w:p>
    <w:p>
      <w:pPr>
        <w:pStyle w:val="Heading1"/>
        <w:spacing w:after="200" w:before="400"/>
      </w:pPr>
      <w:r>
        <w:rPr>
          <w:rFonts w:ascii="Times New Roman" w:cs="Times New Roman" w:eastAsia="Times New Roman" w:hAnsi="Times New Roman"/>
          <w:b/>
          <w:bCs/>
          <w:sz w:val="28"/>
          <w:szCs w:val="28"/>
        </w:rPr>
        <w:t xml:space="preserve">3. Results and discussion</w:t>
      </w:r>
    </w:p>
    <w:p>
      <w:pPr>
        <w:pStyle w:val="Heading2"/>
        <w:spacing w:after="200" w:before="300"/>
      </w:pPr>
      <w:r>
        <w:rPr>
          <w:rFonts w:ascii="Times New Roman" w:cs="Times New Roman" w:eastAsia="Times New Roman" w:hAnsi="Times New Roman"/>
          <w:b/>
          <w:bCs/>
          <w:sz w:val="26"/>
          <w:szCs w:val="26"/>
        </w:rPr>
        <w:t xml:space="preserve">3.1. Lab-scale performance: effect of dot pattern design</w:t>
      </w:r>
    </w:p>
    <w:p>
      <w:pPr>
        <w:spacing w:after="200" w:line="360"/>
        <w:ind w:firstLine="480"/>
        <w:jc w:val="both"/>
      </w:pPr>
      <w:r>
        <w:rPr>
          <w:rFonts w:ascii="Times New Roman" w:cs="Times New Roman" w:eastAsia="Times New Roman" w:hAnsi="Times New Roman"/>
          <w:sz w:val="24"/>
          <w:szCs w:val="24"/>
        </w:rPr>
        <w:t xml:space="preserve">Table 1 summarizes the electrical performance metrics of all lab-scale modules. The uncolored baseline module M-5 achieved the highest performance with a Pmax of 245.00 W and STC efficiency of 16.63%. Among the modules processed with the proposed dot pattern algorithm, M-3 demonstrated the best performance with 14.50% efficiency and only 12.64% relative efficiency loss, while M-2 showed the highest loss at 23.47%. The efficiency range of 12.73–14.50% for the algorithmically patterned modules confirms that the proposed approach maintains commercially viable performance levels.</w:t>
      </w:r>
    </w:p>
    <w:p>
      <w:pPr>
        <w:spacing w:after="200" w:line="360"/>
        <w:jc w:val="center"/>
      </w:pPr>
      <w:r>
        <w:rPr>
          <w:rFonts w:ascii="Times New Roman" w:cs="Times New Roman" w:eastAsia="Times New Roman" w:hAnsi="Times New Roman"/>
          <w:i/>
          <w:iCs/>
          <w:sz w:val="24"/>
          <w:szCs w:val="24"/>
        </w:rPr>
        <w:t xml:space="preserve">[Table 1. Performance metrics of lab-scale colored PV modules under STC. Placeholder – formatted table to be inserted.]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900"/>
        <w:gridCol w:w="1100"/>
        <w:gridCol w:w="1100"/>
        <w:gridCol w:w="1126"/>
        <w:gridCol w:w="1200"/>
      </w:tblGrid>
      <w:tr>
        <w:tc>
          <w:tcPr>
            <w:tcW w:type="dxa" w:w="900"/>
            <w:tcBorders>
              <w:top w:val="single" w:color="000000" w:sz="1"/>
              <w:left w:val="none" w:sz="0"/>
              <w:bottom w:val="single" w:color="000000" w:sz="1"/>
              <w:right w:val="none" w:sz="0"/>
            </w:tcBorders>
            <w:shd w:fill="D9E2F3"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Module</w:t>
            </w:r>
          </w:p>
        </w:tc>
        <w:tc>
          <w:tcPr>
            <w:tcW w:type="dxa" w:w="900"/>
            <w:tcBorders>
              <w:top w:val="single" w:color="000000" w:sz="1"/>
              <w:left w:val="none" w:sz="0"/>
              <w:bottom w:val="single" w:color="000000" w:sz="1"/>
              <w:right w:val="none" w:sz="0"/>
            </w:tcBorders>
            <w:shd w:fill="D9E2F3"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Pmax (W)</w:t>
            </w:r>
          </w:p>
        </w:tc>
        <w:tc>
          <w:tcPr>
            <w:tcW w:type="dxa" w:w="900"/>
            <w:tcBorders>
              <w:top w:val="single" w:color="000000" w:sz="1"/>
              <w:left w:val="none" w:sz="0"/>
              <w:bottom w:val="single" w:color="000000" w:sz="1"/>
              <w:right w:val="none" w:sz="0"/>
            </w:tcBorders>
            <w:shd w:fill="D9E2F3"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Vmp (V)</w:t>
            </w:r>
          </w:p>
        </w:tc>
        <w:tc>
          <w:tcPr>
            <w:tcW w:type="dxa" w:w="900"/>
            <w:tcBorders>
              <w:top w:val="single" w:color="000000" w:sz="1"/>
              <w:left w:val="none" w:sz="0"/>
              <w:bottom w:val="single" w:color="000000" w:sz="1"/>
              <w:right w:val="none" w:sz="0"/>
            </w:tcBorders>
            <w:shd w:fill="D9E2F3"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Voc (V)</w:t>
            </w:r>
          </w:p>
        </w:tc>
        <w:tc>
          <w:tcPr>
            <w:tcW w:type="dxa" w:w="900"/>
            <w:tcBorders>
              <w:top w:val="single" w:color="000000" w:sz="1"/>
              <w:left w:val="none" w:sz="0"/>
              <w:bottom w:val="single" w:color="000000" w:sz="1"/>
              <w:right w:val="none" w:sz="0"/>
            </w:tcBorders>
            <w:shd w:fill="D9E2F3"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Isc (A)</w:t>
            </w:r>
          </w:p>
        </w:tc>
        <w:tc>
          <w:tcPr>
            <w:tcW w:type="dxa" w:w="1100"/>
            <w:tcBorders>
              <w:top w:val="single" w:color="000000" w:sz="1"/>
              <w:left w:val="none" w:sz="0"/>
              <w:bottom w:val="single" w:color="000000" w:sz="1"/>
              <w:right w:val="none" w:sz="0"/>
            </w:tcBorders>
            <w:shd w:fill="D9E2F3"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STC Eff. (%)</w:t>
            </w:r>
          </w:p>
        </w:tc>
        <w:tc>
          <w:tcPr>
            <w:tcW w:type="dxa" w:w="1100"/>
            <w:tcBorders>
              <w:top w:val="single" w:color="000000" w:sz="1"/>
              <w:left w:val="none" w:sz="0"/>
              <w:bottom w:val="single" w:color="000000" w:sz="1"/>
              <w:right w:val="none" w:sz="0"/>
            </w:tcBorders>
            <w:shd w:fill="D9E2F3"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Color Cov. (%)</w:t>
            </w:r>
          </w:p>
        </w:tc>
        <w:tc>
          <w:tcPr>
            <w:tcW w:type="dxa" w:w="1126"/>
            <w:tcBorders>
              <w:top w:val="single" w:color="000000" w:sz="1"/>
              <w:left w:val="none" w:sz="0"/>
              <w:bottom w:val="single" w:color="000000" w:sz="1"/>
              <w:right w:val="none" w:sz="0"/>
            </w:tcBorders>
            <w:shd w:fill="D9E2F3"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Eff. Loss (%)</w:t>
            </w:r>
          </w:p>
        </w:tc>
        <w:tc>
          <w:tcPr>
            <w:tcW w:type="dxa" w:w="1200"/>
            <w:tcBorders>
              <w:top w:val="single" w:color="000000" w:sz="1"/>
              <w:left w:val="none" w:sz="0"/>
              <w:bottom w:val="single" w:color="000000" w:sz="1"/>
              <w:right w:val="none" w:sz="0"/>
            </w:tcBorders>
            <w:shd w:fill="D9E2F3"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Method</w:t>
            </w:r>
          </w:p>
        </w:tc>
      </w:tr>
      <w:tr>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M-1</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200.95</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32.22</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39.35</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6.61</w:t>
            </w:r>
          </w:p>
        </w:tc>
        <w:tc>
          <w:tcPr>
            <w:tcW w:type="dxa" w:w="11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13.64</w:t>
            </w:r>
          </w:p>
        </w:tc>
        <w:tc>
          <w:tcPr>
            <w:tcW w:type="dxa" w:w="11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26.48</w:t>
            </w:r>
          </w:p>
        </w:tc>
        <w:tc>
          <w:tcPr>
            <w:tcW w:type="dxa" w:w="1126"/>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18.00</w:t>
            </w:r>
          </w:p>
        </w:tc>
        <w:tc>
          <w:tcPr>
            <w:tcW w:type="dxa" w:w="12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Dot pattern</w:t>
            </w:r>
          </w:p>
        </w:tc>
      </w:tr>
      <w:tr>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M-2</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187.52</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32.27</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39.18</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6.14</w:t>
            </w:r>
          </w:p>
        </w:tc>
        <w:tc>
          <w:tcPr>
            <w:tcW w:type="dxa" w:w="11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12.73</w:t>
            </w:r>
          </w:p>
        </w:tc>
        <w:tc>
          <w:tcPr>
            <w:tcW w:type="dxa" w:w="11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26.48</w:t>
            </w:r>
          </w:p>
        </w:tc>
        <w:tc>
          <w:tcPr>
            <w:tcW w:type="dxa" w:w="1126"/>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23.47</w:t>
            </w:r>
          </w:p>
        </w:tc>
        <w:tc>
          <w:tcPr>
            <w:tcW w:type="dxa" w:w="12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Dot pattern</w:t>
            </w:r>
          </w:p>
        </w:tc>
      </w:tr>
      <w:tr>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M-3</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213.67</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32.27</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39.41</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6.96</w:t>
            </w:r>
          </w:p>
        </w:tc>
        <w:tc>
          <w:tcPr>
            <w:tcW w:type="dxa" w:w="11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14.50</w:t>
            </w:r>
          </w:p>
        </w:tc>
        <w:tc>
          <w:tcPr>
            <w:tcW w:type="dxa" w:w="11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18.66</w:t>
            </w:r>
          </w:p>
        </w:tc>
        <w:tc>
          <w:tcPr>
            <w:tcW w:type="dxa" w:w="1126"/>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12.64</w:t>
            </w:r>
          </w:p>
        </w:tc>
        <w:tc>
          <w:tcPr>
            <w:tcW w:type="dxa" w:w="12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Dot pattern</w:t>
            </w:r>
          </w:p>
        </w:tc>
      </w:tr>
      <w:tr>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M-4</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193.83</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32.28</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39.24</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6.30</w:t>
            </w:r>
          </w:p>
        </w:tc>
        <w:tc>
          <w:tcPr>
            <w:tcW w:type="dxa" w:w="11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13.15</w:t>
            </w:r>
          </w:p>
        </w:tc>
        <w:tc>
          <w:tcPr>
            <w:tcW w:type="dxa" w:w="11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26.48</w:t>
            </w:r>
          </w:p>
        </w:tc>
        <w:tc>
          <w:tcPr>
            <w:tcW w:type="dxa" w:w="1126"/>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20.93</w:t>
            </w:r>
          </w:p>
        </w:tc>
        <w:tc>
          <w:tcPr>
            <w:tcW w:type="dxa" w:w="12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Dot pattern</w:t>
            </w:r>
          </w:p>
        </w:tc>
      </w:tr>
      <w:tr>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M-5</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245.00</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32.20</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39.73</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8.05</w:t>
            </w:r>
          </w:p>
        </w:tc>
        <w:tc>
          <w:tcPr>
            <w:tcW w:type="dxa" w:w="11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16.63</w:t>
            </w:r>
          </w:p>
        </w:tc>
        <w:tc>
          <w:tcPr>
            <w:tcW w:type="dxa" w:w="11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w:t>
            </w:r>
          </w:p>
        </w:tc>
        <w:tc>
          <w:tcPr>
            <w:tcW w:type="dxa" w:w="1126"/>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0.00</w:t>
            </w:r>
          </w:p>
        </w:tc>
        <w:tc>
          <w:tcPr>
            <w:tcW w:type="dxa" w:w="12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Baseline</w:t>
            </w:r>
          </w:p>
        </w:tc>
      </w:tr>
      <w:tr>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M-5C</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176.62</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32.30</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39.18</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5.73</w:t>
            </w:r>
          </w:p>
        </w:tc>
        <w:tc>
          <w:tcPr>
            <w:tcW w:type="dxa" w:w="11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11.98</w:t>
            </w:r>
          </w:p>
        </w:tc>
        <w:tc>
          <w:tcPr>
            <w:tcW w:type="dxa" w:w="11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26.48</w:t>
            </w:r>
          </w:p>
        </w:tc>
        <w:tc>
          <w:tcPr>
            <w:tcW w:type="dxa" w:w="1126"/>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27.99</w:t>
            </w:r>
          </w:p>
        </w:tc>
        <w:tc>
          <w:tcPr>
            <w:tcW w:type="dxa" w:w="12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Color glass</w:t>
            </w:r>
          </w:p>
        </w:tc>
      </w:tr>
      <w:tr>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M-6</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193.47</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32.76</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39.64</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6.12</w:t>
            </w:r>
          </w:p>
        </w:tc>
        <w:tc>
          <w:tcPr>
            <w:tcW w:type="dxa" w:w="11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13.13</w:t>
            </w:r>
          </w:p>
        </w:tc>
        <w:tc>
          <w:tcPr>
            <w:tcW w:type="dxa" w:w="11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26.48</w:t>
            </w:r>
          </w:p>
        </w:tc>
        <w:tc>
          <w:tcPr>
            <w:tcW w:type="dxa" w:w="1126"/>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21.09</w:t>
            </w:r>
          </w:p>
        </w:tc>
        <w:tc>
          <w:tcPr>
            <w:tcW w:type="dxa" w:w="12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Dot pattern</w:t>
            </w:r>
          </w:p>
        </w:tc>
      </w:tr>
      <w:tr>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M-7</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28.80</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32.34</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36.72</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0.92</w:t>
            </w:r>
          </w:p>
        </w:tc>
        <w:tc>
          <w:tcPr>
            <w:tcW w:type="dxa" w:w="11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1.95</w:t>
            </w:r>
          </w:p>
        </w:tc>
        <w:tc>
          <w:tcPr>
            <w:tcW w:type="dxa" w:w="11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100.00</w:t>
            </w:r>
          </w:p>
        </w:tc>
        <w:tc>
          <w:tcPr>
            <w:tcW w:type="dxa" w:w="1126"/>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88.27</w:t>
            </w:r>
          </w:p>
        </w:tc>
        <w:tc>
          <w:tcPr>
            <w:tcW w:type="dxa" w:w="12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Full print</w:t>
            </w:r>
          </w:p>
        </w:tc>
      </w:tr>
      <w:tr>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M-8</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107.34</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32.83</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38.66</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3.37</w:t>
            </w:r>
          </w:p>
        </w:tc>
        <w:tc>
          <w:tcPr>
            <w:tcW w:type="dxa" w:w="11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7.29</w:t>
            </w:r>
          </w:p>
        </w:tc>
        <w:tc>
          <w:tcPr>
            <w:tcW w:type="dxa" w:w="11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61.51</w:t>
            </w:r>
          </w:p>
        </w:tc>
        <w:tc>
          <w:tcPr>
            <w:tcW w:type="dxa" w:w="1126"/>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56.15</w:t>
            </w:r>
          </w:p>
        </w:tc>
        <w:tc>
          <w:tcPr>
            <w:tcW w:type="dxa" w:w="12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Large dots</w:t>
            </w:r>
          </w:p>
        </w:tc>
      </w:tr>
      <w:tr>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M-9</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198.80</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32.52</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39.49</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6.44</w:t>
            </w:r>
          </w:p>
        </w:tc>
        <w:tc>
          <w:tcPr>
            <w:tcW w:type="dxa" w:w="11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13.50</w:t>
            </w:r>
          </w:p>
        </w:tc>
        <w:tc>
          <w:tcPr>
            <w:tcW w:type="dxa" w:w="11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26.48</w:t>
            </w:r>
          </w:p>
        </w:tc>
        <w:tc>
          <w:tcPr>
            <w:tcW w:type="dxa" w:w="1126"/>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18.86</w:t>
            </w:r>
          </w:p>
        </w:tc>
        <w:tc>
          <w:tcPr>
            <w:tcW w:type="dxa" w:w="12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Small dots</w:t>
            </w:r>
          </w:p>
        </w:tc>
      </w:tr>
    </w:tbl>
    <w:p>
      <w:pPr>
        <w:spacing w:after="200" w:line="360"/>
        <w:jc w:val="both"/>
      </w:pPr>
      <w:r>
        <w:rPr>
          <w:rFonts w:ascii="Times New Roman" w:cs="Times New Roman" w:eastAsia="Times New Roman" w:hAnsi="Times New Roman"/>
          <w:sz w:val="24"/>
          <w:szCs w:val="24"/>
        </w:rPr>
        <w:t xml:space="preserve"/>
      </w:r>
    </w:p>
    <w:p>
      <w:pPr>
        <w:spacing w:after="200" w:line="360"/>
        <w:ind w:firstLine="480"/>
        <w:jc w:val="both"/>
      </w:pPr>
      <w:r>
        <w:rPr>
          <w:rFonts w:ascii="Times New Roman" w:cs="Times New Roman" w:eastAsia="Times New Roman" w:hAnsi="Times New Roman"/>
          <w:sz w:val="24"/>
          <w:szCs w:val="24"/>
        </w:rPr>
        <w:t xml:space="preserve">The most striking result is the comparison between full-color printing (M-7) and the dot pattern algorithm. M-7, with 100% color coverage using conventional full-print methods, achieved only 1.95% efficiency—an 88.27% relative loss that renders the module virtually non-functional as an energy generator. This dramatic degradation occurs because continuous pigment coverage blocks nearly all incident photons from reaching the solar cells. In contrast, M-9 employs the same original image but uses the dot pattern algorithm with 26.48% color coverage, achieving 13.50% efficiency (only 18.86% relative loss). This represents a </w:t>
      </w:r>
    </w:p>
    <w:p>
      <w:pPr>
        <w:spacing w:after="200" w:line="360"/>
        <w:jc w:val="both"/>
      </w:pPr>
      <w:r>
        <w:rPr>
          <w:rFonts w:ascii="Times New Roman" w:cs="Times New Roman" w:eastAsia="Times New Roman" w:hAnsi="Times New Roman"/>
          <w:b/>
          <w:bCs/>
          <w:sz w:val="24"/>
          <w:szCs w:val="24"/>
        </w:rPr>
        <w:t xml:space="preserve">nearly 7-fold improvement in efficiency</w:t>
      </w:r>
      <w:r>
        <w:rPr>
          <w:rFonts w:ascii="Times New Roman" w:cs="Times New Roman" w:eastAsia="Times New Roman" w:hAnsi="Times New Roman"/>
          <w:sz w:val="24"/>
          <w:szCs w:val="24"/>
        </w:rPr>
        <w:t xml:space="preserve"> while maintaining visual recognizability of the original artwork, demonstrating the fundamental advantage of the dot-matrix approach.</w:t>
      </w:r>
    </w:p>
    <w:p>
      <w:pPr>
        <w:spacing w:after="200" w:line="360"/>
        <w:ind w:firstLine="480"/>
        <w:jc w:val="both"/>
      </w:pPr>
      <w:r>
        <w:rPr>
          <w:rFonts w:ascii="Times New Roman" w:cs="Times New Roman" w:eastAsia="Times New Roman" w:hAnsi="Times New Roman"/>
          <w:sz w:val="24"/>
          <w:szCs w:val="24"/>
        </w:rPr>
        <w:t xml:space="preserve">The comparison of M-7, M-8, and M-9—which share the same original image but differ in dot coverage (100%, 61.58%, and 26.48%, respectively)—provides direct evidence of the relationship between coverage and efficiency. As Fig. 2 illustrates, reducing coverage from 100% to 26.48% recovers most of the baseline efficiency, confirming that the dot pattern algorithm’s aperture-based approach is fundamentally more efficient than full-surface color printing.</w:t>
      </w:r>
    </w:p>
    <w:p>
      <w:pPr>
        <w:spacing w:after="200" w:line="360"/>
        <w:jc w:val="center"/>
      </w:pPr>
      <w:r>
        <w:rPr>
          <w:rFonts w:ascii="Times New Roman" w:cs="Times New Roman" w:eastAsia="Times New Roman" w:hAnsi="Times New Roman"/>
          <w:i/>
          <w:iCs/>
          <w:sz w:val="24"/>
          <w:szCs w:val="24"/>
        </w:rPr>
        <w:t xml:space="preserve">[Fig. 2. Relationship between color coverage and STC efficiency for modules M-5, M-7, M-8, and M-9. Placeholder.]</w:t>
      </w:r>
    </w:p>
    <w:p>
      <w:pPr>
        <w:pStyle w:val="Heading2"/>
        <w:spacing w:after="200" w:before="300"/>
      </w:pPr>
      <w:r>
        <w:rPr>
          <w:rFonts w:ascii="Times New Roman" w:cs="Times New Roman" w:eastAsia="Times New Roman" w:hAnsi="Times New Roman"/>
          <w:b/>
          <w:bCs/>
          <w:sz w:val="26"/>
          <w:szCs w:val="26"/>
        </w:rPr>
        <w:t xml:space="preserve">3.2. Comparison with colored glass overlay</w:t>
      </w:r>
    </w:p>
    <w:p>
      <w:pPr>
        <w:spacing w:after="200" w:line="360"/>
        <w:ind w:firstLine="480"/>
        <w:jc w:val="both"/>
      </w:pPr>
      <w:r>
        <w:rPr>
          <w:rFonts w:ascii="Times New Roman" w:cs="Times New Roman" w:eastAsia="Times New Roman" w:hAnsi="Times New Roman"/>
          <w:sz w:val="24"/>
          <w:szCs w:val="24"/>
        </w:rPr>
        <w:t xml:space="preserve">The baseline module M-5 covered with colored glass (M-5C) exhibited an efficiency of 11.98% with 27.99% relative loss. Notably, several dot pattern modules (M-1: 13.64%, M-3: 14.50%, M-6: 13.13%, M-9: 13.50%) outperformed the colored glass overlay while offering far greater design flexibility. The colored glass approach uniformly attenuates all wavelengths and provides only a single uniform color, whereas the dot pattern algorithm enables complex, multi-color, image-based patterns with lower overall efficiency penalty. This comparison establishes that the proposed approach is not merely an alternative to existing coloring methods but offers superior performance.</w:t>
      </w:r>
    </w:p>
    <w:p>
      <w:pPr>
        <w:pStyle w:val="Heading2"/>
        <w:spacing w:after="200" w:before="300"/>
      </w:pPr>
      <w:r>
        <w:rPr>
          <w:rFonts w:ascii="Times New Roman" w:cs="Times New Roman" w:eastAsia="Times New Roman" w:hAnsi="Times New Roman"/>
          <w:b/>
          <w:bCs/>
          <w:sz w:val="26"/>
          <w:szCs w:val="26"/>
        </w:rPr>
        <w:t xml:space="preserve">3.3. Product-scale validation</w:t>
      </w:r>
    </w:p>
    <w:p>
      <w:pPr>
        <w:spacing w:after="200" w:line="360"/>
        <w:ind w:firstLine="480"/>
        <w:jc w:val="both"/>
      </w:pPr>
      <w:r>
        <w:rPr>
          <w:rFonts w:ascii="Times New Roman" w:cs="Times New Roman" w:eastAsia="Times New Roman" w:hAnsi="Times New Roman"/>
          <w:sz w:val="24"/>
          <w:szCs w:val="24"/>
        </w:rPr>
        <w:t xml:space="preserve">The transition from lab-scale to product-scale modules is critical for establishing commercial viability. Table 2 presents the STC performance data for four full-size colored PV modules tested under Class A+A+A+ conditions on March 27, 2025.</w:t>
      </w:r>
    </w:p>
    <w:p>
      <w:pPr>
        <w:spacing w:after="200" w:line="360"/>
        <w:jc w:val="center"/>
      </w:pPr>
      <w:r>
        <w:rPr>
          <w:rFonts w:ascii="Times New Roman" w:cs="Times New Roman" w:eastAsia="Times New Roman" w:hAnsi="Times New Roman"/>
          <w:i/>
          <w:iCs/>
          <w:sz w:val="24"/>
          <w:szCs w:val="24"/>
        </w:rPr>
        <w:t xml:space="preserve">[Table 2. Performance metrics of product-scale colored PV modules under STC.]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1000"/>
        <w:gridCol w:w="1000"/>
        <w:gridCol w:w="1000"/>
        <w:gridCol w:w="1000"/>
        <w:gridCol w:w="1126"/>
        <w:gridCol w:w="900"/>
        <w:gridCol w:w="900"/>
      </w:tblGrid>
      <w:tr>
        <w:tc>
          <w:tcPr>
            <w:tcW w:type="dxa" w:w="1000"/>
            <w:tcBorders>
              <w:top w:val="single" w:color="000000" w:sz="1"/>
              <w:left w:val="none" w:sz="0"/>
              <w:bottom w:val="single" w:color="000000" w:sz="1"/>
              <w:right w:val="none" w:sz="0"/>
            </w:tcBorders>
            <w:shd w:fill="D9E2F3"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Panel</w:t>
            </w:r>
          </w:p>
        </w:tc>
        <w:tc>
          <w:tcPr>
            <w:tcW w:type="dxa" w:w="1100"/>
            <w:tcBorders>
              <w:top w:val="single" w:color="000000" w:sz="1"/>
              <w:left w:val="none" w:sz="0"/>
              <w:bottom w:val="single" w:color="000000" w:sz="1"/>
              <w:right w:val="none" w:sz="0"/>
            </w:tcBorders>
            <w:shd w:fill="D9E2F3"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Pmax (W)</w:t>
            </w:r>
          </w:p>
        </w:tc>
        <w:tc>
          <w:tcPr>
            <w:tcW w:type="dxa" w:w="1000"/>
            <w:tcBorders>
              <w:top w:val="single" w:color="000000" w:sz="1"/>
              <w:left w:val="none" w:sz="0"/>
              <w:bottom w:val="single" w:color="000000" w:sz="1"/>
              <w:right w:val="none" w:sz="0"/>
            </w:tcBorders>
            <w:shd w:fill="D9E2F3"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Vmp (V)</w:t>
            </w:r>
          </w:p>
        </w:tc>
        <w:tc>
          <w:tcPr>
            <w:tcW w:type="dxa" w:w="1000"/>
            <w:tcBorders>
              <w:top w:val="single" w:color="000000" w:sz="1"/>
              <w:left w:val="none" w:sz="0"/>
              <w:bottom w:val="single" w:color="000000" w:sz="1"/>
              <w:right w:val="none" w:sz="0"/>
            </w:tcBorders>
            <w:shd w:fill="D9E2F3"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Imp (A)</w:t>
            </w:r>
          </w:p>
        </w:tc>
        <w:tc>
          <w:tcPr>
            <w:tcW w:type="dxa" w:w="1000"/>
            <w:tcBorders>
              <w:top w:val="single" w:color="000000" w:sz="1"/>
              <w:left w:val="none" w:sz="0"/>
              <w:bottom w:val="single" w:color="000000" w:sz="1"/>
              <w:right w:val="none" w:sz="0"/>
            </w:tcBorders>
            <w:shd w:fill="D9E2F3"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Voc (V)</w:t>
            </w:r>
          </w:p>
        </w:tc>
        <w:tc>
          <w:tcPr>
            <w:tcW w:type="dxa" w:w="1000"/>
            <w:tcBorders>
              <w:top w:val="single" w:color="000000" w:sz="1"/>
              <w:left w:val="none" w:sz="0"/>
              <w:bottom w:val="single" w:color="000000" w:sz="1"/>
              <w:right w:val="none" w:sz="0"/>
            </w:tcBorders>
            <w:shd w:fill="D9E2F3"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Isc (A)</w:t>
            </w:r>
          </w:p>
        </w:tc>
        <w:tc>
          <w:tcPr>
            <w:tcW w:type="dxa" w:w="1126"/>
            <w:tcBorders>
              <w:top w:val="single" w:color="000000" w:sz="1"/>
              <w:left w:val="none" w:sz="0"/>
              <w:bottom w:val="single" w:color="000000" w:sz="1"/>
              <w:right w:val="none" w:sz="0"/>
            </w:tcBorders>
            <w:shd w:fill="D9E2F3"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STC Eff. (%)</w:t>
            </w:r>
          </w:p>
        </w:tc>
        <w:tc>
          <w:tcPr>
            <w:tcW w:type="dxa" w:w="900"/>
            <w:tcBorders>
              <w:top w:val="single" w:color="000000" w:sz="1"/>
              <w:left w:val="none" w:sz="0"/>
              <w:bottom w:val="single" w:color="000000" w:sz="1"/>
              <w:right w:val="none" w:sz="0"/>
            </w:tcBorders>
            <w:shd w:fill="D9E2F3"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FF (%)</w:t>
            </w:r>
          </w:p>
        </w:tc>
        <w:tc>
          <w:tcPr>
            <w:tcW w:type="dxa" w:w="900"/>
            <w:tcBorders>
              <w:top w:val="single" w:color="000000" w:sz="1"/>
              <w:left w:val="none" w:sz="0"/>
              <w:bottom w:val="single" w:color="000000" w:sz="1"/>
              <w:right w:val="none" w:sz="0"/>
            </w:tcBorders>
            <w:shd w:fill="D9E2F3"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TkI (%/°C)</w:t>
            </w:r>
          </w:p>
        </w:tc>
      </w:tr>
      <w:tr>
        <w:tc>
          <w:tcPr>
            <w:tcW w:type="dxa" w:w="10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EG-PF1</w:t>
            </w:r>
          </w:p>
        </w:tc>
        <w:tc>
          <w:tcPr>
            <w:tcW w:type="dxa" w:w="11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187.52</w:t>
            </w:r>
          </w:p>
        </w:tc>
        <w:tc>
          <w:tcPr>
            <w:tcW w:type="dxa" w:w="10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32.27</w:t>
            </w:r>
          </w:p>
        </w:tc>
        <w:tc>
          <w:tcPr>
            <w:tcW w:type="dxa" w:w="10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5.81</w:t>
            </w:r>
          </w:p>
        </w:tc>
        <w:tc>
          <w:tcPr>
            <w:tcW w:type="dxa" w:w="10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39.18</w:t>
            </w:r>
          </w:p>
        </w:tc>
        <w:tc>
          <w:tcPr>
            <w:tcW w:type="dxa" w:w="10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6.14</w:t>
            </w:r>
          </w:p>
        </w:tc>
        <w:tc>
          <w:tcPr>
            <w:tcW w:type="dxa" w:w="1126"/>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12.73</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81.79</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-0.05</w:t>
            </w:r>
          </w:p>
        </w:tc>
      </w:tr>
      <w:tr>
        <w:tc>
          <w:tcPr>
            <w:tcW w:type="dxa" w:w="10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EG-PF2</w:t>
            </w:r>
          </w:p>
        </w:tc>
        <w:tc>
          <w:tcPr>
            <w:tcW w:type="dxa" w:w="11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213.67</w:t>
            </w:r>
          </w:p>
        </w:tc>
        <w:tc>
          <w:tcPr>
            <w:tcW w:type="dxa" w:w="10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32.27</w:t>
            </w:r>
          </w:p>
        </w:tc>
        <w:tc>
          <w:tcPr>
            <w:tcW w:type="dxa" w:w="10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6.62</w:t>
            </w:r>
          </w:p>
        </w:tc>
        <w:tc>
          <w:tcPr>
            <w:tcW w:type="dxa" w:w="10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39.41</w:t>
            </w:r>
          </w:p>
        </w:tc>
        <w:tc>
          <w:tcPr>
            <w:tcW w:type="dxa" w:w="10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6.96</w:t>
            </w:r>
          </w:p>
        </w:tc>
        <w:tc>
          <w:tcPr>
            <w:tcW w:type="dxa" w:w="1126"/>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14.50</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81.94</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-0.04</w:t>
            </w:r>
          </w:p>
        </w:tc>
      </w:tr>
      <w:tr>
        <w:tc>
          <w:tcPr>
            <w:tcW w:type="dxa" w:w="10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EG-PF3</w:t>
            </w:r>
          </w:p>
        </w:tc>
        <w:tc>
          <w:tcPr>
            <w:tcW w:type="dxa" w:w="11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193.83</w:t>
            </w:r>
          </w:p>
        </w:tc>
        <w:tc>
          <w:tcPr>
            <w:tcW w:type="dxa" w:w="10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32.28</w:t>
            </w:r>
          </w:p>
        </w:tc>
        <w:tc>
          <w:tcPr>
            <w:tcW w:type="dxa" w:w="10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6.00</w:t>
            </w:r>
          </w:p>
        </w:tc>
        <w:tc>
          <w:tcPr>
            <w:tcW w:type="dxa" w:w="10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39.24</w:t>
            </w:r>
          </w:p>
        </w:tc>
        <w:tc>
          <w:tcPr>
            <w:tcW w:type="dxa" w:w="10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6.30</w:t>
            </w:r>
          </w:p>
        </w:tc>
        <w:tc>
          <w:tcPr>
            <w:tcW w:type="dxa" w:w="1126"/>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13.15</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82.39</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-0.06</w:t>
            </w:r>
          </w:p>
        </w:tc>
      </w:tr>
      <w:tr>
        <w:tc>
          <w:tcPr>
            <w:tcW w:type="dxa" w:w="10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EG-PF4</w:t>
            </w:r>
          </w:p>
        </w:tc>
        <w:tc>
          <w:tcPr>
            <w:tcW w:type="dxa" w:w="11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200.95</w:t>
            </w:r>
          </w:p>
        </w:tc>
        <w:tc>
          <w:tcPr>
            <w:tcW w:type="dxa" w:w="10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32.22</w:t>
            </w:r>
          </w:p>
        </w:tc>
        <w:tc>
          <w:tcPr>
            <w:tcW w:type="dxa" w:w="10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6.24</w:t>
            </w:r>
          </w:p>
        </w:tc>
        <w:tc>
          <w:tcPr>
            <w:tcW w:type="dxa" w:w="10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39.35</w:t>
            </w:r>
          </w:p>
        </w:tc>
        <w:tc>
          <w:tcPr>
            <w:tcW w:type="dxa" w:w="10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6.61</w:t>
            </w:r>
          </w:p>
        </w:tc>
        <w:tc>
          <w:tcPr>
            <w:tcW w:type="dxa" w:w="1126"/>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13.64</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81.63</w:t>
            </w:r>
          </w:p>
        </w:tc>
        <w:tc>
          <w:tcPr>
            <w:tcW w:type="dxa" w:w="900"/>
            <w:tcBorders>
              <w:top w:val="single" w:color="000000" w:sz="1"/>
              <w:left w:val="none" w:sz="0"/>
              <w:bottom w:val="single" w:color="000000" w:sz="1"/>
              <w:right w:val="none"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-0.04</w:t>
            </w:r>
          </w:p>
        </w:tc>
      </w:tr>
    </w:tbl>
    <w:p>
      <w:pPr>
        <w:spacing w:after="200" w:line="360"/>
        <w:jc w:val="both"/>
      </w:pPr>
      <w:r>
        <w:rPr>
          <w:rFonts w:ascii="Times New Roman" w:cs="Times New Roman" w:eastAsia="Times New Roman" w:hAnsi="Times New Roman"/>
          <w:sz w:val="24"/>
          <w:szCs w:val="24"/>
        </w:rPr>
        <w:t xml:space="preserve"/>
      </w:r>
    </w:p>
    <w:p>
      <w:pPr>
        <w:spacing w:after="200" w:line="360"/>
        <w:ind w:firstLine="480"/>
        <w:jc w:val="both"/>
      </w:pPr>
      <w:r>
        <w:rPr>
          <w:rFonts w:ascii="Times New Roman" w:cs="Times New Roman" w:eastAsia="Times New Roman" w:hAnsi="Times New Roman"/>
          <w:sz w:val="24"/>
          <w:szCs w:val="24"/>
        </w:rPr>
        <w:t xml:space="preserve">EG-PF2 achieved the highest efficiency at 14.50% with a maximum power output of 213.67 W, while EG-PF1 exhibited the lowest at 12.73% (187.52 W). The performance spread of 1.77 percentage points across the four modules reflects the influence of different pattern designs on light capture. All fill factor values exceeded 81.6%, indicating high-quality cell interconnection and minimal series resistance losses despite the patterned glass overlay. The open-circuit voltages (39.18–39.41 V) remained remarkably consistent across all modules, confirming that the dot pattern does not affect the fundamental semiconductor properties of the cells.</w:t>
      </w:r>
    </w:p>
    <w:p>
      <w:pPr>
        <w:pStyle w:val="Heading2"/>
        <w:spacing w:after="200" w:before="300"/>
      </w:pPr>
      <w:r>
        <w:rPr>
          <w:rFonts w:ascii="Times New Roman" w:cs="Times New Roman" w:eastAsia="Times New Roman" w:hAnsi="Times New Roman"/>
          <w:b/>
          <w:bCs/>
          <w:sz w:val="26"/>
          <w:szCs w:val="26"/>
        </w:rPr>
        <w:t xml:space="preserve">3.4. Temperature coefficient analysis</w:t>
      </w:r>
    </w:p>
    <w:p>
      <w:pPr>
        <w:spacing w:after="200" w:line="360"/>
        <w:ind w:firstLine="480"/>
        <w:jc w:val="both"/>
      </w:pPr>
      <w:r>
        <w:rPr>
          <w:rFonts w:ascii="Times New Roman" w:cs="Times New Roman" w:eastAsia="Times New Roman" w:hAnsi="Times New Roman"/>
          <w:sz w:val="24"/>
          <w:szCs w:val="24"/>
        </w:rPr>
        <w:t xml:space="preserve">Temperature coefficient analysis revealed important variations in thermal response among the product-scale modules. The current temperature coefficient (CellParamTkI) ranged from −0.04%/°C (EG-PF2 and EG-PF4) to −0.06%/°C (EG-PF3), while the voltage temperature coefficient (CellParamTkU) ranged from −0.18%/°C (EG-PF1) to −0.21%/°C (EG-PF2). EG-PF4 demonstrated the most balanced thermal response, with favorable coefficients for both current (−0.04%/°C) and voltage (−0.20%/°C), suggesting superior performance stability under real-world temperature fluctuations. At a typical operating temperature of 60°C (35°C above STC), the combined power temperature coefficient differences would result in measurable yield variations, with EG-PF4 expected to deliver the most consistent output across seasonal variations. These coefficients are comparable to those of standard uncolored commercial modules, indicating that the dot pattern overlay does not adversely affect thermal performance characteristics.</w:t>
      </w:r>
    </w:p>
    <w:p>
      <w:pPr>
        <w:pStyle w:val="Heading2"/>
        <w:spacing w:after="200" w:before="300"/>
      </w:pPr>
      <w:r>
        <w:rPr>
          <w:rFonts w:ascii="Times New Roman" w:cs="Times New Roman" w:eastAsia="Times New Roman" w:hAnsi="Times New Roman"/>
          <w:b/>
          <w:bCs/>
          <w:sz w:val="26"/>
          <w:szCs w:val="26"/>
        </w:rPr>
        <w:t xml:space="preserve">3.5. Comparative analysis with existing colored PV technologies</w:t>
      </w:r>
    </w:p>
    <w:p>
      <w:pPr>
        <w:spacing w:after="200" w:line="360"/>
        <w:ind w:firstLine="480"/>
        <w:jc w:val="both"/>
      </w:pPr>
      <w:r>
        <w:rPr>
          <w:rFonts w:ascii="Times New Roman" w:cs="Times New Roman" w:eastAsia="Times New Roman" w:hAnsi="Times New Roman"/>
          <w:sz w:val="24"/>
          <w:szCs w:val="24"/>
        </w:rPr>
        <w:t xml:space="preserve">To contextualize the performance of the proposed approach, Table 3 compares the product-scale modules with SERIS’s commercially available multi-color PV module. The comparison reveals substantial advantages: the EG-PF modules achieve relative losses of 27.56–27.70% compared to their full-cell baseline, whereas the SERIS multi-color PV module exhibits a 43% relative loss. In absolute efficiency, the EG-PF modules (14.48–14.51%) significantly outperform the SERIS module (10.0%). The maximum power output comparison is equally striking: EG-PF modules produce 291.4–292.0 W versus 165 W for the SERIS module.</w:t>
      </w:r>
    </w:p>
    <w:p>
      <w:pPr>
        <w:spacing w:after="200" w:line="360"/>
        <w:jc w:val="center"/>
      </w:pPr>
      <w:r>
        <w:rPr>
          <w:rFonts w:ascii="Times New Roman" w:cs="Times New Roman" w:eastAsia="Times New Roman" w:hAnsi="Times New Roman"/>
          <w:i/>
          <w:iCs/>
          <w:sz w:val="24"/>
          <w:szCs w:val="24"/>
        </w:rPr>
        <w:t xml:space="preserve">[Table 3. Performance comparison between proposed dot-pattern modules and SERIS Multi-color PV. Placeholder – refer to Fig. 3.]</w:t>
      </w:r>
    </w:p>
    <w:p>
      <w:pPr>
        <w:spacing w:after="200" w:line="360"/>
        <w:ind w:firstLine="480"/>
        <w:jc w:val="both"/>
      </w:pPr>
      <w:r>
        <w:rPr>
          <w:rFonts w:ascii="Times New Roman" w:cs="Times New Roman" w:eastAsia="Times New Roman" w:hAnsi="Times New Roman"/>
          <w:sz w:val="24"/>
          <w:szCs w:val="24"/>
        </w:rPr>
        <w:t xml:space="preserve">Fig. 3 presents the relative loss comparison across all tested configurations. The bar chart clearly demonstrates the hierarchical performance: the proposed dot pattern modules consistently achieve approximately 27–28% relative loss, compared to 43% for existing commercial colored PV products. This 15-percentage-point improvement in relative loss translates directly to higher energy yield per unit area, fundamentally changing the economic calculus for colored BIPV deployment.</w:t>
      </w:r>
    </w:p>
    <w:p>
      <w:pPr>
        <w:spacing w:after="200" w:line="360"/>
        <w:jc w:val="center"/>
      </w:pPr>
      <w:r>
        <w:rPr>
          <w:rFonts w:ascii="Times New Roman" w:cs="Times New Roman" w:eastAsia="Times New Roman" w:hAnsi="Times New Roman"/>
          <w:i/>
          <w:iCs/>
          <w:sz w:val="24"/>
          <w:szCs w:val="24"/>
        </w:rPr>
        <w:t xml:space="preserve">[Fig. 3. Relative power loss comparison: proposed dot-pattern modules (EG-PF1–3) vs. SERIS Multi-color PV module. Placeholder.]</w:t>
      </w:r>
    </w:p>
    <w:p>
      <w:pPr>
        <w:pStyle w:val="Heading2"/>
        <w:spacing w:after="200" w:before="300"/>
      </w:pPr>
      <w:r>
        <w:rPr>
          <w:rFonts w:ascii="Times New Roman" w:cs="Times New Roman" w:eastAsia="Times New Roman" w:hAnsi="Times New Roman"/>
          <w:b/>
          <w:bCs/>
          <w:sz w:val="26"/>
          <w:szCs w:val="26"/>
        </w:rPr>
        <w:t xml:space="preserve">3.6. Efficiency–aesthetics trade-off optimization</w:t>
      </w:r>
    </w:p>
    <w:p>
      <w:pPr>
        <w:spacing w:after="200" w:line="360"/>
        <w:ind w:firstLine="480"/>
        <w:jc w:val="both"/>
      </w:pPr>
      <w:r>
        <w:rPr>
          <w:rFonts w:ascii="Times New Roman" w:cs="Times New Roman" w:eastAsia="Times New Roman" w:hAnsi="Times New Roman"/>
          <w:sz w:val="24"/>
          <w:szCs w:val="24"/>
        </w:rPr>
        <w:t xml:space="preserve">The data from both lab-scale and product-scale testing enables a quantitative framework for efficiency–aesthetics optimization. Fig. 4 maps the relationship between color coverage percentage and both absolute efficiency and relative loss across all tested modules. Three distinct regimes emerge: (1) the "Energy-Oriented" regime (&lt;20% coverage) where relative losses remain below 15% and modules are optimized for long-range viewing (&gt;25 m); (2) the "Balanced" regime (20–30% coverage) achieving 18–24% relative losses suitable for medium viewing distances (~10 m); and (3) the "Graphic-Oriented" regime (&gt;30% coverage) where higher visual detail comes at the cost of increased efficiency loss. This framework provides architects and project developers with a quantitative tool for making informed decisions based on specific project requirements, viewing distances, and energy production targets.</w:t>
      </w:r>
    </w:p>
    <w:p>
      <w:pPr>
        <w:spacing w:after="200" w:line="360"/>
        <w:jc w:val="center"/>
      </w:pPr>
      <w:r>
        <w:rPr>
          <w:rFonts w:ascii="Times New Roman" w:cs="Times New Roman" w:eastAsia="Times New Roman" w:hAnsi="Times New Roman"/>
          <w:i/>
          <w:iCs/>
          <w:sz w:val="24"/>
          <w:szCs w:val="24"/>
        </w:rPr>
        <w:t xml:space="preserve">[Fig. 4. Efficiency–aesthetics trade-off framework showing STC efficiency and relative loss as functions of color coverage percentage. Placeholder.]</w:t>
      </w:r>
    </w:p>
    <w:p>
      <w:pPr>
        <w:pStyle w:val="Heading2"/>
        <w:spacing w:after="200" w:before="300"/>
      </w:pPr>
      <w:r>
        <w:rPr>
          <w:rFonts w:ascii="Times New Roman" w:cs="Times New Roman" w:eastAsia="Times New Roman" w:hAnsi="Times New Roman"/>
          <w:b/>
          <w:bCs/>
          <w:sz w:val="26"/>
          <w:szCs w:val="26"/>
        </w:rPr>
        <w:t xml:space="preserve">3.7. Hotspot mitigation effectiveness</w:t>
      </w:r>
    </w:p>
    <w:p>
      <w:pPr>
        <w:spacing w:after="200" w:line="360"/>
        <w:ind w:firstLine="480"/>
        <w:jc w:val="both"/>
      </w:pPr>
      <w:r>
        <w:rPr>
          <w:rFonts w:ascii="Times New Roman" w:cs="Times New Roman" w:eastAsia="Times New Roman" w:hAnsi="Times New Roman"/>
          <w:sz w:val="24"/>
          <w:szCs w:val="24"/>
        </w:rPr>
        <w:t xml:space="preserve">The algorithm’s per-cell pattern uniformity constitutes a fundamental design-level safeguard against hotspot formation. In conventional full-color printed modules—particularly those reproducing photographic images with varying lightness and darkness across the surface—individual cells may receive vastly different irradiance levels, creating current mismatch within series-connected cell strings. Cells receiving less irradiance become current-limiting and may operate in reverse bias, dissipating power as heat rather than generating it. The proposed algorithm addresses this by constraining the color coverage of each cell to a uniform percentage (e.g., all cells at 26.48% ± 2% coverage), regardless of the image’s local color intensity. The image is reconstructed through dot size and color modulation within each cell’s allocated pattern area, preserving visual continuity while ensuring electrical uniformity. This approach is inherently different from post-fabrication hotspot mitigation strategies such as bypass diodes, which merely limit damage rather than preventing the root cause.</w:t>
      </w:r>
    </w:p>
    <w:p>
      <w:r>
        <w:br w:type="page"/>
      </w:r>
    </w:p>
    <w:p>
      <w:pPr>
        <w:pStyle w:val="Heading1"/>
        <w:spacing w:after="200" w:before="400"/>
      </w:pPr>
      <w:r>
        <w:rPr>
          <w:rFonts w:ascii="Times New Roman" w:cs="Times New Roman" w:eastAsia="Times New Roman" w:hAnsi="Times New Roman"/>
          <w:b/>
          <w:bCs/>
          <w:sz w:val="28"/>
          <w:szCs w:val="28"/>
        </w:rPr>
        <w:t xml:space="preserve">4. Application scenarios</w:t>
      </w:r>
    </w:p>
    <w:p>
      <w:pPr>
        <w:spacing w:after="200" w:line="360"/>
        <w:ind w:firstLine="480"/>
        <w:jc w:val="both"/>
      </w:pPr>
      <w:r>
        <w:rPr>
          <w:rFonts w:ascii="Times New Roman" w:cs="Times New Roman" w:eastAsia="Times New Roman" w:hAnsi="Times New Roman"/>
          <w:sz w:val="24"/>
          <w:szCs w:val="24"/>
        </w:rPr>
        <w:t xml:space="preserve">The versatility of the image-based dot pattern algorithm enables diverse architectural applications. Fig. 5 presents representative application scenarios demonstrating the range of aesthetic possibilities. Heritage-inspired patterns drawn from Peranakan tile motifs offer culturally appropriate integration with traditional Southeast Asian architecture, addressing planning requirements for heritage buildings where conventional PV modules would be visually incongruent. Modern geometric patterns provide clean, contemporary aesthetics for commercial facades, while nature-inspired flowing designs soften the technological appearance of PV installations in residential settings.</w:t>
      </w:r>
    </w:p>
    <w:p>
      <w:pPr>
        <w:spacing w:after="200" w:line="360"/>
        <w:ind w:firstLine="480"/>
        <w:jc w:val="both"/>
      </w:pPr>
      <w:r>
        <w:rPr>
          <w:rFonts w:ascii="Times New Roman" w:cs="Times New Roman" w:eastAsia="Times New Roman" w:hAnsi="Times New Roman"/>
          <w:sz w:val="24"/>
          <w:szCs w:val="24"/>
        </w:rPr>
        <w:t xml:space="preserve">The dot pattern approach also enables a novel category of application: photovoltaic art (PV Art). By converting artworks or custom graphics into functional PV patterns, the technology transforms building facades into simultaneous energy generators and artistic canvases. This dual functionality aligns with the growing global movement toward land art generators and artistic solar installations, which seek to enhance public engagement with renewable energy through aesthetic appeal.</w:t>
      </w:r>
    </w:p>
    <w:p>
      <w:pPr>
        <w:spacing w:after="200" w:line="360"/>
        <w:jc w:val="center"/>
      </w:pPr>
      <w:r>
        <w:rPr>
          <w:rFonts w:ascii="Times New Roman" w:cs="Times New Roman" w:eastAsia="Times New Roman" w:hAnsi="Times New Roman"/>
          <w:i/>
          <w:iCs/>
          <w:sz w:val="24"/>
          <w:szCs w:val="24"/>
        </w:rPr>
        <w:t xml:space="preserve">[Fig. 5. Representative application scenarios: (a) Heritage-inspired Peranakan patterns; (b) Modern geometric patterns; (c) Nature-inspired flowing designs; (d) Artistic image-based PV modules. Placeholder – to be populated with photographs of fabricated modules.]</w:t>
      </w:r>
    </w:p>
    <w:p>
      <w:r>
        <w:br w:type="page"/>
      </w:r>
    </w:p>
    <w:p>
      <w:pPr>
        <w:pStyle w:val="Heading1"/>
        <w:spacing w:after="200" w:before="400"/>
      </w:pPr>
      <w:r>
        <w:rPr>
          <w:rFonts w:ascii="Times New Roman" w:cs="Times New Roman" w:eastAsia="Times New Roman" w:hAnsi="Times New Roman"/>
          <w:b/>
          <w:bCs/>
          <w:sz w:val="28"/>
          <w:szCs w:val="28"/>
        </w:rPr>
        <w:t xml:space="preserve">5. Conclusions</w:t>
      </w:r>
    </w:p>
    <w:p>
      <w:pPr>
        <w:spacing w:after="200" w:line="360"/>
        <w:ind w:firstLine="480"/>
        <w:jc w:val="both"/>
      </w:pPr>
      <w:r>
        <w:rPr>
          <w:rFonts w:ascii="Times New Roman" w:cs="Times New Roman" w:eastAsia="Times New Roman" w:hAnsi="Times New Roman"/>
          <w:sz w:val="24"/>
          <w:szCs w:val="24"/>
        </w:rPr>
        <w:t xml:space="preserve">This study has presented and validated an image-based dot pattern enhancement algorithm for the design and fabrication of hotspot-free colored photovoltaic modules. The principal findings and contributions are as follows:</w:t>
      </w:r>
    </w:p>
    <w:p>
      <w:pPr>
        <w:spacing w:after="200" w:line="360"/>
        <w:ind w:firstLine="480"/>
        <w:jc w:val="both"/>
      </w:pPr>
      <w:r>
        <w:rPr>
          <w:rFonts w:ascii="Times New Roman" w:cs="Times New Roman" w:eastAsia="Times New Roman" w:hAnsi="Times New Roman"/>
          <w:sz w:val="24"/>
          <w:szCs w:val="24"/>
        </w:rPr>
        <w:t xml:space="preserve">(1) The proposed algorithm successfully converts arbitrary input images into vectorized dot-matrix patterns that serve as functional colored overlays on PV modules, enabling unprecedented aesthetic customization for BIPV applications. The parametric design framework allows systematic control of dot density, size, color, and randomization to balance aesthetic fidelity with energy performance.</w:t>
      </w:r>
    </w:p>
    <w:p>
      <w:pPr>
        <w:spacing w:after="200" w:line="360"/>
        <w:ind w:firstLine="480"/>
        <w:jc w:val="both"/>
      </w:pPr>
      <w:r>
        <w:rPr>
          <w:rFonts w:ascii="Times New Roman" w:cs="Times New Roman" w:eastAsia="Times New Roman" w:hAnsi="Times New Roman"/>
          <w:sz w:val="24"/>
          <w:szCs w:val="24"/>
        </w:rPr>
        <w:t xml:space="preserve">(2) Lab-scale testing at SERIS demonstrated that modules fabricated with the dot pattern algorithm achieve STC efficiencies of 12.73–14.50%, corresponding to relative losses of only 12.64–23.47% compared to uncolored baseline modules (16.63%). This represents a transformative improvement over conventional full-color printing, which exhibited 88.27% relative loss (1.95% efficiency), and outperforms colored glass overlay methods (27.99% relative loss, 11.98% efficiency).</w:t>
      </w:r>
    </w:p>
    <w:p>
      <w:pPr>
        <w:spacing w:after="200" w:line="360"/>
        <w:ind w:firstLine="480"/>
        <w:jc w:val="both"/>
      </w:pPr>
      <w:r>
        <w:rPr>
          <w:rFonts w:ascii="Times New Roman" w:cs="Times New Roman" w:eastAsia="Times New Roman" w:hAnsi="Times New Roman"/>
          <w:sz w:val="24"/>
          <w:szCs w:val="24"/>
        </w:rPr>
        <w:t xml:space="preserve">(3) Product-scale validation using four full-size modules (1750 mm × 1150 mm) with P-TopCon bifacial cells confirmed consistent performance at commercial scale, with EG-PF2 achieving 14.50% efficiency. Fill factors exceeding 81.6% across all modules indicate high-quality cell interconnection unaffected by the patterned glass overlay.</w:t>
      </w:r>
    </w:p>
    <w:p>
      <w:pPr>
        <w:spacing w:after="200" w:line="360"/>
        <w:ind w:firstLine="480"/>
        <w:jc w:val="both"/>
      </w:pPr>
      <w:r>
        <w:rPr>
          <w:rFonts w:ascii="Times New Roman" w:cs="Times New Roman" w:eastAsia="Times New Roman" w:hAnsi="Times New Roman"/>
          <w:sz w:val="24"/>
          <w:szCs w:val="24"/>
        </w:rPr>
        <w:t xml:space="preserve">(4) Comparative analysis with SERIS Multi-color PV modules demonstrated a significant competitive advantage, with the proposed modules achieving approximately 27–28% relative loss versus 43% for the commercial benchmark—a 15-percentage-point improvement that substantially enhances the economic viability of colored BIPV deployment.</w:t>
      </w:r>
    </w:p>
    <w:p>
      <w:pPr>
        <w:spacing w:after="200" w:line="360"/>
        <w:ind w:firstLine="480"/>
        <w:jc w:val="both"/>
      </w:pPr>
      <w:r>
        <w:rPr>
          <w:rFonts w:ascii="Times New Roman" w:cs="Times New Roman" w:eastAsia="Times New Roman" w:hAnsi="Times New Roman"/>
          <w:sz w:val="24"/>
          <w:szCs w:val="24"/>
        </w:rPr>
        <w:t xml:space="preserve">(5) The per-cell pattern uniformity constraint inherent in the algorithm provides design-level hotspot mitigation, a critical reliability advantage not systematically addressed by existing colored PV technologies.</w:t>
      </w:r>
    </w:p>
    <w:p>
      <w:pPr>
        <w:spacing w:after="200" w:line="360"/>
        <w:ind w:firstLine="480"/>
        <w:jc w:val="both"/>
      </w:pPr>
      <w:r>
        <w:rPr>
          <w:rFonts w:ascii="Times New Roman" w:cs="Times New Roman" w:eastAsia="Times New Roman" w:hAnsi="Times New Roman"/>
          <w:sz w:val="24"/>
          <w:szCs w:val="24"/>
        </w:rPr>
        <w:t xml:space="preserve">Future work will focus on accelerated aging tests (thermal cycling, humidity-freeze, and damp heat exposure) to assess long-term durability, outdoor energy yield monitoring under real-world conditions, and expansion of the color palette through spectral optimization of printable pigments. The integration of machine learning-based image segmentation into the algorithm pipeline is also being explored to further automate the pattern generation process.</w:t>
      </w:r>
    </w:p>
    <w:p>
      <w:r>
        <w:br w:type="page"/>
      </w:r>
    </w:p>
    <w:p>
      <w:pPr>
        <w:pStyle w:val="Heading1"/>
        <w:spacing w:after="200" w:before="400"/>
      </w:pPr>
      <w:r>
        <w:rPr>
          <w:rFonts w:ascii="Times New Roman" w:cs="Times New Roman" w:eastAsia="Times New Roman" w:hAnsi="Times New Roman"/>
          <w:b/>
          <w:bCs/>
          <w:sz w:val="28"/>
          <w:szCs w:val="28"/>
        </w:rPr>
        <w:t xml:space="preserve">Acknowledgments</w:t>
      </w:r>
    </w:p>
    <w:p>
      <w:pPr>
        <w:spacing w:after="200" w:line="360"/>
        <w:jc w:val="both"/>
      </w:pPr>
      <w:r>
        <w:rPr>
          <w:rFonts w:ascii="Times New Roman" w:cs="Times New Roman" w:eastAsia="Times New Roman" w:hAnsi="Times New Roman"/>
          <w:sz w:val="24"/>
          <w:szCs w:val="24"/>
        </w:rPr>
        <w:t xml:space="preserve">The authors acknowledge the Solar Energy Research Institute of Singapore (SERIS) for providing access to their high-precision solar simulator facilities for lab-scale module characterization. [Additional acknowledgments for funding programs to be added by authors.]</w:t>
      </w:r>
    </w:p>
    <w:p>
      <w:pPr>
        <w:pStyle w:val="Heading1"/>
        <w:spacing w:after="200" w:before="400"/>
      </w:pPr>
      <w:r>
        <w:rPr>
          <w:rFonts w:ascii="Times New Roman" w:cs="Times New Roman" w:eastAsia="Times New Roman" w:hAnsi="Times New Roman"/>
          <w:b/>
          <w:bCs/>
          <w:sz w:val="28"/>
          <w:szCs w:val="28"/>
        </w:rPr>
        <w:t xml:space="preserve">Declaration of competing interest</w:t>
      </w:r>
    </w:p>
    <w:p>
      <w:pPr>
        <w:spacing w:after="200" w:line="360"/>
        <w:jc w:val="both"/>
      </w:pPr>
      <w:r>
        <w:rPr>
          <w:rFonts w:ascii="Times New Roman" w:cs="Times New Roman" w:eastAsia="Times New Roman" w:hAnsi="Times New Roman"/>
          <w:sz w:val="24"/>
          <w:szCs w:val="24"/>
        </w:rPr>
        <w:t xml:space="preserve">The authors declare that they have a patent pending related to the dot-matrix vector pattern design method described in this work (Patent Application No.: CN 2025103536061; SG 10202500754Y, filed March 24, 2025). The technology described in this paper is developed by Power Facade Pte. Ltd., Singapore, of which the authors are affiliated.</w:t>
      </w:r>
    </w:p>
    <w:p>
      <w:pPr>
        <w:pStyle w:val="Heading1"/>
        <w:spacing w:after="200" w:before="400"/>
      </w:pPr>
      <w:r>
        <w:rPr>
          <w:rFonts w:ascii="Times New Roman" w:cs="Times New Roman" w:eastAsia="Times New Roman" w:hAnsi="Times New Roman"/>
          <w:b/>
          <w:bCs/>
          <w:sz w:val="28"/>
          <w:szCs w:val="28"/>
        </w:rPr>
        <w:t xml:space="preserve">CRediT authorship contribution statement</w:t>
      </w:r>
    </w:p>
    <w:p>
      <w:pPr>
        <w:spacing w:after="200" w:line="360"/>
        <w:jc w:val="both"/>
      </w:pPr>
      <w:r>
        <w:rPr>
          <w:rFonts w:ascii="Times New Roman" w:cs="Times New Roman" w:eastAsia="Times New Roman" w:hAnsi="Times New Roman"/>
          <w:b/>
          <w:bCs/>
          <w:sz w:val="24"/>
          <w:szCs w:val="24"/>
        </w:rPr>
        <w:t xml:space="preserve">Qianning Zhang: </w:t>
      </w:r>
      <w:r>
        <w:rPr>
          <w:rFonts w:ascii="Times New Roman" w:cs="Times New Roman" w:eastAsia="Times New Roman" w:hAnsi="Times New Roman"/>
          <w:sz w:val="24"/>
          <w:szCs w:val="24"/>
        </w:rPr>
        <w:t xml:space="preserve">Conceptualization, Methodology, Software, Writing – original draft. </w:t>
      </w:r>
      <w:r>
        <w:rPr>
          <w:rFonts w:ascii="Times New Roman" w:cs="Times New Roman" w:eastAsia="Times New Roman" w:hAnsi="Times New Roman"/>
          <w:b/>
          <w:bCs/>
          <w:sz w:val="24"/>
          <w:szCs w:val="24"/>
        </w:rPr>
        <w:t xml:space="preserve">Tianyi Chen: </w:t>
      </w:r>
      <w:r>
        <w:rPr>
          <w:rFonts w:ascii="Times New Roman" w:cs="Times New Roman" w:eastAsia="Times New Roman" w:hAnsi="Times New Roman"/>
          <w:sz w:val="24"/>
          <w:szCs w:val="24"/>
        </w:rPr>
        <w:t xml:space="preserve">Conceptualization, Resources, Supervision, Project administration, Writing – review &amp; editing. </w:t>
      </w:r>
      <w:r>
        <w:rPr>
          <w:rFonts w:ascii="Times New Roman" w:cs="Times New Roman" w:eastAsia="Times New Roman" w:hAnsi="Times New Roman"/>
          <w:b/>
          <w:bCs/>
          <w:sz w:val="24"/>
          <w:szCs w:val="24"/>
        </w:rPr>
        <w:t xml:space="preserve">Yaning An: </w:t>
      </w:r>
      <w:r>
        <w:rPr>
          <w:rFonts w:ascii="Times New Roman" w:cs="Times New Roman" w:eastAsia="Times New Roman" w:hAnsi="Times New Roman"/>
          <w:sz w:val="24"/>
          <w:szCs w:val="24"/>
        </w:rPr>
        <w:t xml:space="preserve">Investigation, Data curation, Validation.</w:t>
      </w:r>
    </w:p>
    <w:p>
      <w:r>
        <w:br w:type="page"/>
      </w:r>
    </w:p>
    <w:p>
      <w:pPr>
        <w:pStyle w:val="Heading1"/>
        <w:spacing w:after="200" w:before="400"/>
      </w:pPr>
      <w:r>
        <w:rPr>
          <w:rFonts w:ascii="Times New Roman" w:cs="Times New Roman" w:eastAsia="Times New Roman" w:hAnsi="Times New Roman"/>
          <w:b/>
          <w:bCs/>
          <w:sz w:val="28"/>
          <w:szCs w:val="28"/>
        </w:rPr>
        <w:t xml:space="preserve">References</w:t>
      </w:r>
    </w:p>
    <w:p>
      <w:pPr>
        <w:spacing w:after="100" w:line="276"/>
        <w:jc w:val="both"/>
      </w:pPr>
      <w:r>
        <w:rPr>
          <w:rFonts w:ascii="Times New Roman" w:cs="Times New Roman" w:eastAsia="Times New Roman" w:hAnsi="Times New Roman"/>
          <w:sz w:val="24"/>
          <w:szCs w:val="24"/>
        </w:rPr>
        <w:t xml:space="preserve">[1] International Energy Agency (IEA). Buildings: A source of enormous untapped efficiency potential. IEA Energy Efficiency Report, 2024.</w:t>
      </w:r>
    </w:p>
    <w:p>
      <w:pPr>
        <w:spacing w:after="100" w:line="276"/>
        <w:jc w:val="both"/>
      </w:pPr>
      <w:r>
        <w:rPr>
          <w:rFonts w:ascii="Times New Roman" w:cs="Times New Roman" w:eastAsia="Times New Roman" w:hAnsi="Times New Roman"/>
          <w:sz w:val="24"/>
          <w:szCs w:val="24"/>
        </w:rPr>
        <w:t xml:space="preserve">[2] Shukla AK, Sudhakar K, Baredar P. A comprehensive review on design of building integrated photovoltaic system. Energy and Buildings 2016;128:99–110.</w:t>
      </w:r>
    </w:p>
    <w:p>
      <w:pPr>
        <w:spacing w:after="100" w:line="276"/>
        <w:jc w:val="both"/>
      </w:pPr>
      <w:r>
        <w:rPr>
          <w:rFonts w:ascii="Times New Roman" w:cs="Times New Roman" w:eastAsia="Times New Roman" w:hAnsi="Times New Roman"/>
          <w:sz w:val="24"/>
          <w:szCs w:val="24"/>
        </w:rPr>
        <w:t xml:space="preserve">[3] Jelle BP, Breivik C, Røkenes HD. Building integrated photovoltaic products: A state-of-the-art review and future research opportunities. Solar Energy Materials and Solar Cells 2012;100:69–116.</w:t>
      </w:r>
    </w:p>
    <w:p>
      <w:pPr>
        <w:spacing w:after="100" w:line="276"/>
        <w:jc w:val="both"/>
      </w:pPr>
      <w:r>
        <w:rPr>
          <w:rFonts w:ascii="Times New Roman" w:cs="Times New Roman" w:eastAsia="Times New Roman" w:hAnsi="Times New Roman"/>
          <w:sz w:val="24"/>
          <w:szCs w:val="24"/>
        </w:rPr>
        <w:t xml:space="preserve">[4] Biyik E, Araz M, Hepbasli A, Shahrestani M, Yao R, Shao L, et al. A key review of building integrated photovoltaic (BIPV) systems. Engineering Science and Technology 2017;20(3):833–58.</w:t>
      </w:r>
    </w:p>
    <w:p>
      <w:pPr>
        <w:spacing w:after="100" w:line="276"/>
        <w:jc w:val="both"/>
      </w:pPr>
      <w:r>
        <w:rPr>
          <w:rFonts w:ascii="Times New Roman" w:cs="Times New Roman" w:eastAsia="Times New Roman" w:hAnsi="Times New Roman"/>
          <w:sz w:val="24"/>
          <w:szCs w:val="24"/>
        </w:rPr>
        <w:t xml:space="preserve">[5] Peng C, Huang Y, Wu Z. Building-integrated photovoltaics (BIPV) in architectural design in China. Energy and Buildings 2011;43(12):3592–3598.</w:t>
      </w:r>
    </w:p>
    <w:p>
      <w:pPr>
        <w:spacing w:after="100" w:line="276"/>
        <w:jc w:val="both"/>
      </w:pPr>
      <w:r>
        <w:rPr>
          <w:rFonts w:ascii="Times New Roman" w:cs="Times New Roman" w:eastAsia="Times New Roman" w:hAnsi="Times New Roman"/>
          <w:sz w:val="24"/>
          <w:szCs w:val="24"/>
        </w:rPr>
        <w:t xml:space="preserve">[6] IRENA. Renewable Power Generation Costs in 2023. International Renewable Energy Agency, Abu Dhabi, 2024.</w:t>
      </w:r>
    </w:p>
    <w:p>
      <w:pPr>
        <w:spacing w:after="100" w:line="276"/>
        <w:jc w:val="both"/>
      </w:pPr>
      <w:r>
        <w:rPr>
          <w:rFonts w:ascii="Times New Roman" w:cs="Times New Roman" w:eastAsia="Times New Roman" w:hAnsi="Times New Roman"/>
          <w:sz w:val="24"/>
          <w:szCs w:val="24"/>
        </w:rPr>
        <w:t xml:space="preserve">[7] Frontini F, Manfren M, Tagliabue LC. A case study of solar technologies adoption: criteria for BIPV integration in sensitive built environment. Energy Procedia 2012;30:1006–1015.</w:t>
      </w:r>
    </w:p>
    <w:p>
      <w:pPr>
        <w:spacing w:after="100" w:line="276"/>
        <w:jc w:val="both"/>
      </w:pPr>
      <w:r>
        <w:rPr>
          <w:rFonts w:ascii="Times New Roman" w:cs="Times New Roman" w:eastAsia="Times New Roman" w:hAnsi="Times New Roman"/>
          <w:sz w:val="24"/>
          <w:szCs w:val="24"/>
        </w:rPr>
        <w:t xml:space="preserve">[8] Ballif C, Perret-Aebi LE, Lufkin S, Rey E. Integrated thinking for photovoltaics in buildings. Nature Energy 2018;3(6):438–442.</w:t>
      </w:r>
    </w:p>
    <w:p>
      <w:pPr>
        <w:spacing w:after="100" w:line="276"/>
        <w:jc w:val="both"/>
      </w:pPr>
      <w:r>
        <w:rPr>
          <w:rFonts w:ascii="Times New Roman" w:cs="Times New Roman" w:eastAsia="Times New Roman" w:hAnsi="Times New Roman"/>
          <w:sz w:val="24"/>
          <w:szCs w:val="24"/>
        </w:rPr>
        <w:t xml:space="preserve">[9] Wessels A, et al. Social acceptance study of building-integrated photovoltaics. Fraunhofer ISE / University of Freiburg, 2024.</w:t>
      </w:r>
    </w:p>
    <w:p>
      <w:pPr>
        <w:spacing w:after="100" w:line="276"/>
        <w:jc w:val="both"/>
      </w:pPr>
      <w:r>
        <w:rPr>
          <w:rFonts w:ascii="Times New Roman" w:cs="Times New Roman" w:eastAsia="Times New Roman" w:hAnsi="Times New Roman"/>
          <w:sz w:val="24"/>
          <w:szCs w:val="24"/>
        </w:rPr>
        <w:t xml:space="preserve">[10] European Commission. Directive on the Energy Performance of Buildings (recast). Official Journal of the European Union, 2024.</w:t>
      </w:r>
    </w:p>
    <w:p>
      <w:pPr>
        <w:spacing w:after="100" w:line="276"/>
        <w:jc w:val="both"/>
      </w:pPr>
      <w:r>
        <w:rPr>
          <w:rFonts w:ascii="Times New Roman" w:cs="Times New Roman" w:eastAsia="Times New Roman" w:hAnsi="Times New Roman"/>
          <w:sz w:val="24"/>
          <w:szCs w:val="24"/>
        </w:rPr>
        <w:t xml:space="preserve">[11] Kroyer T, Höhn O, Wessels A. MorphoColor® coating technology for colored solar panels. Fraunhofer ISE, Joseph von Fraunhofer Prize 2024.</w:t>
      </w:r>
    </w:p>
    <w:p>
      <w:pPr>
        <w:spacing w:after="100" w:line="276"/>
        <w:jc w:val="both"/>
      </w:pPr>
      <w:r>
        <w:rPr>
          <w:rFonts w:ascii="Times New Roman" w:cs="Times New Roman" w:eastAsia="Times New Roman" w:hAnsi="Times New Roman"/>
          <w:sz w:val="24"/>
          <w:szCs w:val="24"/>
        </w:rPr>
        <w:t xml:space="preserve">[12] He T, et al. Design of periodic dielectric multilayer thin films for colorizing PV panels. Solar Energy 2024;278:112655.</w:t>
      </w:r>
    </w:p>
    <w:p>
      <w:pPr>
        <w:spacing w:after="100" w:line="276"/>
        <w:jc w:val="both"/>
      </w:pPr>
      <w:r>
        <w:rPr>
          <w:rFonts w:ascii="Times New Roman" w:cs="Times New Roman" w:eastAsia="Times New Roman" w:hAnsi="Times New Roman"/>
          <w:sz w:val="24"/>
          <w:szCs w:val="24"/>
        </w:rPr>
        <w:t xml:space="preserve">[13] Power Facade Pte. Ltd. Technical Report: Characteristics and reliability testing of lab-scale coloured PV modules. Internal Report, May 2024.</w:t>
      </w:r>
    </w:p>
    <w:p>
      <w:pPr>
        <w:spacing w:after="100" w:line="276"/>
        <w:jc w:val="both"/>
      </w:pPr>
      <w:r>
        <w:rPr>
          <w:rFonts w:ascii="Times New Roman" w:cs="Times New Roman" w:eastAsia="Times New Roman" w:hAnsi="Times New Roman"/>
          <w:sz w:val="24"/>
          <w:szCs w:val="24"/>
        </w:rPr>
        <w:t xml:space="preserve">[14] Halme J, Mäkinen P. Theoretical efficiency limits of ideal coloured opaque photovoltaics. Energy &amp; Environmental Science 2019;12(4):1274–1285.</w:t>
      </w:r>
    </w:p>
    <w:p>
      <w:pPr>
        <w:spacing w:after="100" w:line="276"/>
        <w:jc w:val="both"/>
      </w:pPr>
      <w:r>
        <w:rPr>
          <w:rFonts w:ascii="Times New Roman" w:cs="Times New Roman" w:eastAsia="Times New Roman" w:hAnsi="Times New Roman"/>
          <w:sz w:val="24"/>
          <w:szCs w:val="24"/>
        </w:rPr>
        <w:t xml:space="preserve">[15] Dhimish M, Holmes V, Mehrdadi B, Dales M. The impact of cracks on photovoltaic power performance. Journal of Science: Advanced Materials and Devices 2017;2(2):199–209.</w:t>
      </w:r>
    </w:p>
    <w:p>
      <w:pPr>
        <w:spacing w:after="100" w:line="276"/>
        <w:jc w:val="both"/>
      </w:pPr>
      <w:r>
        <w:rPr>
          <w:rFonts w:ascii="Times New Roman" w:cs="Times New Roman" w:eastAsia="Times New Roman" w:hAnsi="Times New Roman"/>
          <w:sz w:val="24"/>
          <w:szCs w:val="24"/>
        </w:rPr>
        <w:t xml:space="preserve">[16] Kim KA, Seo GS, Cho BH, Krein PT. Photovoltaic hot-spot detection for solar panel substrings using AC parameter characterization. IEEE Transactions on Power Electronics 2016;31(2):1121–1130.</w:t>
      </w:r>
    </w:p>
    <w:p>
      <w:pPr>
        <w:spacing w:after="100" w:line="276"/>
        <w:jc w:val="both"/>
      </w:pPr>
      <w:r>
        <w:rPr>
          <w:rFonts w:ascii="Times New Roman" w:cs="Times New Roman" w:eastAsia="Times New Roman" w:hAnsi="Times New Roman"/>
          <w:sz w:val="24"/>
          <w:szCs w:val="24"/>
        </w:rPr>
        <w:t xml:space="preserve">[17] Li S, Chen Y, Li T, Li Z, Ma T. Multilayer thin film design for neutral-colored opaque photovoltaics. Applied Energy 2025;378:124710.</w:t>
      </w:r>
    </w:p>
    <w:p>
      <w:pPr>
        <w:spacing w:after="100" w:line="276"/>
        <w:jc w:val="both"/>
      </w:pPr>
      <w:r>
        <w:rPr>
          <w:rFonts w:ascii="Times New Roman" w:cs="Times New Roman" w:eastAsia="Times New Roman" w:hAnsi="Times New Roman"/>
          <w:sz w:val="24"/>
          <w:szCs w:val="24"/>
        </w:rPr>
        <w:t xml:space="preserve">[18] Adachi L, et al. Highly efficient color-control technique for building-integrated photovoltaics using optical dielectric thin film. Japanese Journal of Applied Physics 2023;62:SK1010.</w:t>
      </w:r>
    </w:p>
    <w:p>
      <w:pPr>
        <w:spacing w:after="100" w:line="276"/>
        <w:jc w:val="both"/>
      </w:pPr>
      <w:r>
        <w:rPr>
          <w:rFonts w:ascii="Times New Roman" w:cs="Times New Roman" w:eastAsia="Times New Roman" w:hAnsi="Times New Roman"/>
          <w:sz w:val="24"/>
          <w:szCs w:val="24"/>
        </w:rPr>
        <w:t xml:space="preserve">[19] Ji C, Zhang Z, Masuda T, Kudo Y, Guo LJ. Vivid-colored silicon solar panels with high efficiency and non-iridescent appearance. Nanoscale Horizons 2019;4:874–880.</w:t>
      </w:r>
    </w:p>
    <w:p>
      <w:pPr>
        <w:spacing w:after="100" w:line="276"/>
        <w:jc w:val="both"/>
      </w:pPr>
      <w:r>
        <w:rPr>
          <w:rFonts w:ascii="Times New Roman" w:cs="Times New Roman" w:eastAsia="Times New Roman" w:hAnsi="Times New Roman"/>
          <w:sz w:val="24"/>
          <w:szCs w:val="24"/>
        </w:rPr>
        <w:t xml:space="preserve">[20] Escarre J, et al. When PV modules are becoming real building elements: white solar module, a revolution for BIPV. IEEE 42nd PVSC, 2015.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4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200" w:before="3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60" w:before="24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2026-04-05T19:50:40.278Z</dcterms:created>
  <dcterms:modified xsi:type="dcterms:W3CDTF">2026-04-05T19:50:40.282Z</dcterms:modified>
</cp:coreProperties>
</file>

<file path=docProps/custom.xml><?xml version="1.0" encoding="utf-8"?>
<Properties xmlns="http://schemas.openxmlformats.org/officeDocument/2006/custom-properties" xmlns:vt="http://schemas.openxmlformats.org/officeDocument/2006/docPropsVTypes"/>
</file>