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36"/>
        </w:rPr>
        <w:t>From visual pattern to electrical performance: image-derived descriptors and experimental validation for coloured photovoltaic facades</w:t>
      </w:r>
    </w:p>
    <w:p>
      <w:pPr>
        <w:jc w:val="center"/>
      </w:pPr>
      <w:r>
        <w:rPr>
          <w:rFonts w:ascii="Times New Roman" w:hAnsi="Times New Roman"/>
          <w:b w:val="0"/>
          <w:i/>
          <w:sz w:val="20"/>
        </w:rPr>
        <w:t xml:space="preserve">Journal: Applied Energy (Elsevier, Q1) — submitted  </w:t>
      </w:r>
    </w:p>
    <w:p>
      <w:pPr>
        <w:jc w:val="center"/>
      </w:pPr>
      <w:r>
        <w:rPr>
          <w:rFonts w:ascii="Times New Roman" w:hAnsi="Times New Roman"/>
          <w:b w:val="0"/>
          <w:i/>
          <w:sz w:val="20"/>
        </w:rPr>
        <w:t>Backup: Renewable Energy (Elsevier, Q1)</w:t>
      </w:r>
    </w:p>
    <w:p>
      <w:pPr>
        <w:keepNext/>
        <w:spacing w:before="240" w:after="80"/>
      </w:pPr>
      <w:r>
        <w:rPr>
          <w:rFonts w:ascii="Times New Roman" w:hAnsi="Times New Roman"/>
          <w:b/>
          <w:i w:val="0"/>
          <w:sz w:val="28"/>
        </w:rPr>
        <w:t>Abstract</w:t>
      </w:r>
    </w:p>
    <w:p>
      <w:pPr>
        <w:spacing w:before="0" w:after="120" w:lineRule="exact" w:line="480"/>
        <w:ind w:firstLine="425"/>
      </w:pPr>
      <w:r>
        <w:rPr>
          <w:rFonts w:ascii="Times New Roman" w:hAnsi="Times New Roman"/>
          <w:b w:val="0"/>
          <w:i w:val="0"/>
          <w:sz w:val="24"/>
        </w:rPr>
        <w:t>Coloured building-integrated photovoltaics (BIPV) face an unresolved trilemma: achieving image-customisable visual patterns while maintaining high electrical performance and suppressing hotspot risk. This paper proposes a six-descriptor image-derived framework — Colour Coverage Ratio (CCR), Effective Aperture Ratio (EAR), Spatial Frequency (SF), Edge Density (ED), Dot Size Variance (DSV), and Pattern Uniformity Index (PUI) — that quantifies the optical geometry of dot-pattern coloured PV modules and links it directly to measurable electrical performance. Ten laboratory-scale specimens (SERIS, Singapore) spanning CCR = 0–100% were characterised under standard test conditions. A linear regression of CCR against STC efficiency yields η = −0.1503·CCR + 16.908 (R² = 0.9957), confirming photocurrent loss as the dominant mechanism (105% of total efficiency loss attributable to ΔIsc/Isc). Critically, five modules sharing identical CCR = 26.48% exhibit an efficiency spread of 5.47 percentage points, explained by secondary descriptors: Edge Density shows the strongest correlation with efficiency loss (r = 0.995), revealing the role of dot perimeter geometry in modulating sub-cell light diffraction. An effective shading model, Isc = Isc₀ × (1 − α·CCR), yields α = 0.796 ± 0.093 for dot-pattern modules — significantly below unity, indicating that approximately 20% of light blocked by each dot reaches the active junction via edge diffraction. A per-cell uniformity constraint embedded in the dot-pattern algorithm reduces current mismatch from 12.2% (free image print) to 1.0% (algorithm pattern) in Monte Carlo simulation, eliminating hotspot risk entirely. Product-scale validation on three commercially manufactured 2.01 m² modules (CetisPV) confirms efficiency retention of 76.5–87.2% and relative efficiency loss of 27.56–27.70%, substantially lower than comparable printed approaches. The proposed framework provides architects and engineers with quantitative design guidelines linking visual pattern choices to expected electrical performance, advancing coloured BIPV from decorative compromise to functional art.</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Keywords:</w:t>
      </w:r>
      <w:r>
        <w:rPr>
          <w:rFonts w:ascii="Times New Roman" w:hAnsi="Times New Roman"/>
          <w:b w:val="0"/>
          <w:i w:val="0"/>
          <w:sz w:val="24"/>
        </w:rPr>
        <w:t xml:space="preserve"> coloured BIPV; dot-pattern photovoltaics; image descriptor; effective shading coefficient; hotspot; PV art; building-integrated photovoltaics</w:t>
      </w:r>
    </w:p>
    <w:p>
      <w:pPr>
        <w:keepNext/>
        <w:spacing w:before="240" w:after="80"/>
      </w:pPr>
      <w:r>
        <w:rPr>
          <w:rFonts w:ascii="Times New Roman" w:hAnsi="Times New Roman"/>
          <w:b/>
          <w:i w:val="0"/>
          <w:sz w:val="28"/>
        </w:rPr>
        <w:t>1. Introduction</w:t>
      </w:r>
    </w:p>
    <w:p>
      <w:pPr>
        <w:keepNext/>
        <w:spacing w:before="240" w:after="80"/>
      </w:pPr>
      <w:r>
        <w:rPr>
          <w:rFonts w:ascii="Times New Roman" w:hAnsi="Times New Roman"/>
          <w:b/>
          <w:i w:val="0"/>
          <w:sz w:val="24"/>
        </w:rPr>
        <w:t>1.1 Motivation and context</w:t>
      </w:r>
    </w:p>
    <w:p>
      <w:pPr>
        <w:spacing w:before="0" w:after="120" w:lineRule="exact" w:line="480"/>
        <w:ind w:firstLine="425"/>
      </w:pPr>
      <w:r>
        <w:rPr>
          <w:rFonts w:ascii="Times New Roman" w:hAnsi="Times New Roman"/>
          <w:b w:val="0"/>
          <w:i w:val="0"/>
          <w:sz w:val="24"/>
        </w:rPr>
        <w:t>The integration of photovoltaic modules into building envelopes — building-integrated photovoltaics (BIPV) — is central to urban decarbonisation strategies worldwide [1, 2]. As energy codes tighten and architectural expectations rise, there is growing demand for modules that are visually expressive without sacrificing electrical performance. This is particularly acute in heritage conservation zones, public buildings, and PV art installations, where colour, pattern, and image content are primary design requirements rather than optional features [3]. Commercial manufacturers now offer coloured PV products using structural colour coatings, coloured-glass laminates, pigmented encapsulants, and direct inkjet printing [4, 5]; yet each existing approach involves significant trade-offs among image fidelity, efficiency retention, and electrical safety.</w:t>
      </w:r>
    </w:p>
    <w:p>
      <w:pPr>
        <w:keepNext/>
        <w:spacing w:before="240" w:after="80"/>
      </w:pPr>
      <w:r>
        <w:rPr>
          <w:rFonts w:ascii="Times New Roman" w:hAnsi="Times New Roman"/>
          <w:b/>
          <w:i w:val="0"/>
          <w:sz w:val="24"/>
        </w:rPr>
        <w:t>1.2 Prior work and its limitations</w:t>
      </w:r>
    </w:p>
    <w:p>
      <w:pPr>
        <w:spacing w:before="0" w:after="120" w:lineRule="exact" w:line="480"/>
        <w:ind w:firstLine="425"/>
      </w:pPr>
      <w:r>
        <w:rPr>
          <w:rFonts w:ascii="Times New Roman" w:hAnsi="Times New Roman"/>
          <w:b w:val="0"/>
          <w:i w:val="0"/>
          <w:sz w:val="24"/>
        </w:rPr>
        <w:t xml:space="preserve">The optical mechanisms for colouring silicon PV modules fall into three broad families. </w:t>
      </w:r>
      <w:r>
        <w:rPr>
          <w:rFonts w:ascii="Times New Roman" w:hAnsi="Times New Roman"/>
          <w:b w:val="0"/>
          <w:i/>
          <w:sz w:val="24"/>
        </w:rPr>
        <w:t>Spectrally selective coatings</w:t>
      </w:r>
      <w:r>
        <w:rPr>
          <w:rFonts w:ascii="Times New Roman" w:hAnsi="Times New Roman"/>
          <w:b w:val="0"/>
          <w:i w:val="0"/>
          <w:sz w:val="24"/>
        </w:rPr>
        <w:t xml:space="preserve"> — including thin-film interference stacks and photonic crystal arrays — reflect specific wavelengths while transmitting photovoltaically useful light [6, 7]. They achieve efficiency retentions of 80–95% relative to uncoloured references [7] but are restricted to uniform, image-independent colour fields. </w:t>
      </w:r>
      <w:r>
        <w:rPr>
          <w:rFonts w:ascii="Times New Roman" w:hAnsi="Times New Roman"/>
          <w:b w:val="0"/>
          <w:i/>
          <w:sz w:val="24"/>
        </w:rPr>
        <w:t>Inkjet-printed pigment layers</w:t>
      </w:r>
      <w:r>
        <w:rPr>
          <w:rFonts w:ascii="Times New Roman" w:hAnsi="Times New Roman"/>
          <w:b w:val="0"/>
          <w:i w:val="0"/>
          <w:sz w:val="24"/>
        </w:rPr>
        <w:t xml:space="preserve"> achieve near-photographic image fidelity but absorb or scatter a broad spectral range indiscriminately; full-coverage configurations exhibit efficiency losses of 56–88% [8, 9]. </w:t>
      </w:r>
      <w:r>
        <w:rPr>
          <w:rFonts w:ascii="Times New Roman" w:hAnsi="Times New Roman"/>
          <w:b w:val="0"/>
          <w:i/>
          <w:sz w:val="24"/>
        </w:rPr>
        <w:t>Sub-cell patterning</w:t>
      </w:r>
      <w:r>
        <w:rPr>
          <w:rFonts w:ascii="Times New Roman" w:hAnsi="Times New Roman"/>
          <w:b w:val="0"/>
          <w:i w:val="0"/>
          <w:sz w:val="24"/>
        </w:rPr>
        <w:t xml:space="preserve"> — in which discrete light-blocking elements whose local density encodes image content are applied to the module surface — has received increasing attention as a strategy that might bridge the gap between image customisability and acceptable electrical performance.</w:t>
      </w:r>
    </w:p>
    <w:p>
      <w:pPr>
        <w:spacing w:before="0" w:after="120" w:lineRule="exact" w:line="480"/>
        <w:ind w:firstLine="425"/>
      </w:pPr>
      <w:r>
        <w:rPr>
          <w:rFonts w:ascii="Times New Roman" w:hAnsi="Times New Roman"/>
          <w:b w:val="0"/>
          <w:i w:val="0"/>
          <w:sz w:val="24"/>
        </w:rPr>
        <w:t>The most directly comparable prior work is that of Peng et al. [12], who fabricated dot-matrix patterned modules using screen-printed opaque dots at three coverage levels (10%, 20%, and 30%) and characterised their electrical and thermal performance under standard test conditions. Their results confirm a near-linear relationship between colour coverage ratio (CCR) and efficiency loss, consistent with a photocurrent-dominated mechanism. The present study builds on this foundation in three respects: (i) it introduces a six-descriptor image analysis framework extending beyond CCR alone; (ii) it enforces a per-cell uniformity constraint in the pattern generation algorithm, suppressing current mismatch from 12.2% to 1.0%; and (iii) it provides a complete lab-to-product validation chain on commercially manufactured full-size modules — none of which was reported in [12].</w:t>
      </w:r>
    </w:p>
    <w:p>
      <w:pPr>
        <w:spacing w:before="0" w:after="120" w:lineRule="exact" w:line="480"/>
        <w:ind w:firstLine="425"/>
      </w:pPr>
      <w:r>
        <w:rPr>
          <w:rFonts w:ascii="Times New Roman" w:hAnsi="Times New Roman"/>
          <w:b w:val="0"/>
          <w:i w:val="0"/>
          <w:sz w:val="24"/>
        </w:rPr>
        <w:t>A further benchmark is provided by the micro-pattern coloured PV (MPCPV) approach of [13], which achieved an STC efficiency of 9.6% at approximately 40% coverage using photolithographic micro-patterns, corresponding to an efficiency retention of approximately 58%. The present method achieves 76.5–87.2% retention at comparable coverage, representing a relative improvement of 31–50 percentage points.</w:t>
      </w:r>
    </w:p>
    <w:p>
      <w:pPr>
        <w:keepNext/>
        <w:spacing w:before="240" w:after="80"/>
      </w:pPr>
      <w:r>
        <w:rPr>
          <w:rFonts w:ascii="Times New Roman" w:hAnsi="Times New Roman"/>
          <w:b/>
          <w:i w:val="0"/>
          <w:sz w:val="24"/>
        </w:rPr>
        <w:t>1.3 Research gaps and objectives</w:t>
      </w:r>
    </w:p>
    <w:p>
      <w:pPr>
        <w:spacing w:before="0" w:after="120" w:lineRule="exact" w:line="480"/>
        <w:ind w:firstLine="425"/>
      </w:pPr>
      <w:r>
        <w:rPr>
          <w:rFonts w:ascii="Times New Roman" w:hAnsi="Times New Roman"/>
          <w:b w:val="0"/>
          <w:i w:val="0"/>
          <w:sz w:val="24"/>
        </w:rPr>
        <w:t>Three specific gaps motivate this work:</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Gap 1 — Descriptor-based performance prediction.</w:t>
      </w:r>
      <w:r>
        <w:rPr>
          <w:rFonts w:ascii="Times New Roman" w:hAnsi="Times New Roman"/>
          <w:b w:val="0"/>
          <w:i w:val="0"/>
          <w:sz w:val="24"/>
        </w:rPr>
        <w:t xml:space="preserve"> Existing studies, including Peng et al. [12], characterise patterned modules by CCR alone. No published framework links pattern geometry descriptors — spatial frequency, edge density, dot size variance, pattern uniformity index — to electrical performance, preventing rational design optimisation.</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Gap 2 — Per-cell uniformity as a design constraint.</w:t>
      </w:r>
      <w:r>
        <w:rPr>
          <w:rFonts w:ascii="Times New Roman" w:hAnsi="Times New Roman"/>
          <w:b w:val="0"/>
          <w:i w:val="0"/>
          <w:sz w:val="24"/>
        </w:rPr>
        <w:t xml:space="preserve"> The hotspot risk inherent in spatially heterogeneous image-derived patterns has not been systematically quantified or mitigated in prior dot-matrix work. No prior study has demonstrated the design rule required to suppress current mismatch in image-customisable patterned modules.</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Gap 3 — Lab-to-product validation.</w:t>
      </w:r>
      <w:r>
        <w:rPr>
          <w:rFonts w:ascii="Times New Roman" w:hAnsi="Times New Roman"/>
          <w:b w:val="0"/>
          <w:i w:val="0"/>
          <w:sz w:val="24"/>
        </w:rPr>
        <w:t xml:space="preserve"> No prior study has validated image-customisable dot-pattern performance from laboratory specimens through to commercially manufactured full-size BIPV modules.</w:t>
      </w:r>
    </w:p>
    <w:p>
      <w:pPr>
        <w:spacing w:before="0" w:after="120" w:lineRule="exact" w:line="480"/>
        <w:ind w:firstLine="425"/>
      </w:pPr>
      <w:r>
        <w:rPr>
          <w:rFonts w:ascii="Times New Roman" w:hAnsi="Times New Roman"/>
          <w:b w:val="0"/>
          <w:i w:val="0"/>
          <w:sz w:val="24"/>
        </w:rPr>
        <w:t>The objectives of this paper are: (i) to define and extract a six-descriptor framework applicable to any dot-pattern image; (ii) to quantify descriptor–performance relationships through single- and multi-descriptor regression; (iii) to establish an effective shading coefficient model that captures sub-unity optical transmission through dot patterns; (iv) to assess and demonstrate hotspot suppression via Monte Carlo simulation; and (v) to validate the complete framework at product scale.</w:t>
      </w:r>
    </w:p>
    <w:p>
      <w:pPr>
        <w:keepNext/>
        <w:spacing w:before="240" w:after="80"/>
      </w:pPr>
      <w:r>
        <w:rPr>
          <w:rFonts w:ascii="Times New Roman" w:hAnsi="Times New Roman"/>
          <w:b/>
          <w:i w:val="0"/>
          <w:sz w:val="28"/>
        </w:rPr>
        <w:t>2. Image-Derived Descriptor Framework</w:t>
      </w:r>
    </w:p>
    <w:p>
      <w:pPr>
        <w:keepNext/>
        <w:spacing w:before="240" w:after="80"/>
      </w:pPr>
      <w:r>
        <w:rPr>
          <w:rFonts w:ascii="Times New Roman" w:hAnsi="Times New Roman"/>
          <w:b/>
          <w:i w:val="0"/>
          <w:sz w:val="24"/>
        </w:rPr>
        <w:t>2.1 Motivation for a multi-descriptor approach</w:t>
      </w:r>
    </w:p>
    <w:p>
      <w:pPr>
        <w:spacing w:before="0" w:after="120" w:lineRule="exact" w:line="480"/>
        <w:ind w:firstLine="425"/>
      </w:pPr>
      <w:r>
        <w:rPr>
          <w:rFonts w:ascii="Times New Roman" w:hAnsi="Times New Roman"/>
          <w:b w:val="0"/>
          <w:i w:val="0"/>
          <w:sz w:val="24"/>
        </w:rPr>
        <w:t>A dot-pattern coloured PV module is characterised not only by the fraction of its surface covered by light-blocking elements, but also by the spatial organisation of those elements: how many dots are present, how large they are, how uniformly their size varies, and how regular their spatial distribution is across the module. These geometric properties collectively determine the optical path of light reaching the active cells beneath the pattern — particularly through edge diffraction at dot boundaries — and hence influence short-circuit current independently of CCR. A single scalar (CCR) is insufficient to predict performance in the general case.</w:t>
      </w:r>
    </w:p>
    <w:p>
      <w:pPr>
        <w:keepNext/>
        <w:spacing w:before="240" w:after="80"/>
      </w:pPr>
      <w:r>
        <w:rPr>
          <w:rFonts w:ascii="Times New Roman" w:hAnsi="Times New Roman"/>
          <w:b/>
          <w:i w:val="0"/>
          <w:sz w:val="24"/>
        </w:rPr>
        <w:t>2.2 Descriptor definitions</w:t>
      </w:r>
    </w:p>
    <w:p>
      <w:pPr>
        <w:spacing w:before="0" w:after="120" w:lineRule="exact" w:line="480"/>
        <w:ind w:firstLine="425"/>
      </w:pPr>
      <w:r>
        <w:rPr>
          <w:rFonts w:ascii="Times New Roman" w:hAnsi="Times New Roman"/>
          <w:b w:val="0"/>
          <w:i w:val="0"/>
          <w:sz w:val="24"/>
        </w:rPr>
        <w:t>Six descriptors are defined and extracted from greyscale binarised images of dot-pattern modules using OpenCV-based connected-component analysis [14]:</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D1 — Colour Coverage Ratio (CCR, %):</w:t>
      </w:r>
      <w:r>
        <w:rPr>
          <w:rFonts w:ascii="Times New Roman" w:hAnsi="Times New Roman"/>
          <w:b w:val="0"/>
          <w:i w:val="0"/>
          <w:sz w:val="24"/>
        </w:rPr>
        <w:t xml:space="preserve"> The fraction of total module area covered by light-blocking elements:</w:t>
      </w:r>
    </w:p>
    <w:p>
      <w:pPr>
        <w:spacing w:before="60" w:after="60" w:lineRule="exact" w:line="360"/>
        <w:jc w:val="center"/>
      </w:pPr>
      <w:r>
        <w:rPr>
          <w:rFonts w:ascii="Times New Roman" w:hAnsi="Times New Roman"/>
          <w:b w:val="0"/>
          <w:i/>
          <w:sz w:val="24"/>
        </w:rPr>
        <w:t>CCR = A_dots / A_total × 100</w:t>
      </w:r>
    </w:p>
    <w:p>
      <w:pPr>
        <w:spacing w:before="0" w:after="120" w:lineRule="exact" w:line="480"/>
        <w:ind w:firstLine="425"/>
      </w:pPr>
      <w:r>
        <w:rPr>
          <w:rFonts w:ascii="Times New Roman" w:hAnsi="Times New Roman"/>
          <w:b w:val="0"/>
          <w:i w:val="0"/>
          <w:sz w:val="24"/>
        </w:rPr>
        <w:t>where A_dots is the cumulative area of all light-blocking elements and A_total is the module area. CCR is the primary predictor of efficiency loss in the first-order linear model.</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D2 — Effective Aperture Ratio (EAR, %):</w:t>
      </w:r>
      <w:r>
        <w:rPr>
          <w:rFonts w:ascii="Times New Roman" w:hAnsi="Times New Roman"/>
          <w:b w:val="0"/>
          <w:i w:val="0"/>
          <w:sz w:val="24"/>
        </w:rPr>
        <w:t xml:space="preserve"> The complement of CCR, representing the unobstructed area fraction:</w:t>
      </w:r>
    </w:p>
    <w:p>
      <w:pPr>
        <w:spacing w:before="60" w:after="60" w:lineRule="exact" w:line="360"/>
        <w:jc w:val="center"/>
      </w:pPr>
      <w:r>
        <w:rPr>
          <w:rFonts w:ascii="Times New Roman" w:hAnsi="Times New Roman"/>
          <w:b w:val="0"/>
          <w:i/>
          <w:sz w:val="24"/>
        </w:rPr>
        <w:t>EAR = 100 − CCR</w:t>
      </w:r>
    </w:p>
    <w:p>
      <w:pPr>
        <w:spacing w:before="0" w:after="120" w:lineRule="exact" w:line="480"/>
        <w:ind w:firstLine="425"/>
      </w:pPr>
      <w:r>
        <w:rPr>
          <w:rFonts w:ascii="Times New Roman" w:hAnsi="Times New Roman"/>
          <w:b w:val="0"/>
          <w:i w:val="0"/>
          <w:sz w:val="24"/>
        </w:rPr>
        <w:t>EAR quantifies the fraction of the module area that transmits light directly to the cells without interaction with the dot pattern.</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D3 — Spatial Frequency (SF, dots per megapixel):</w:t>
      </w:r>
      <w:r>
        <w:rPr>
          <w:rFonts w:ascii="Times New Roman" w:hAnsi="Times New Roman"/>
          <w:b w:val="0"/>
          <w:i w:val="0"/>
          <w:sz w:val="24"/>
        </w:rPr>
        <w:t xml:space="preserve"> The number of discrete dot elements per unit area of the module image:</w:t>
      </w:r>
    </w:p>
    <w:p>
      <w:pPr>
        <w:spacing w:before="60" w:after="60" w:lineRule="exact" w:line="360"/>
        <w:jc w:val="center"/>
      </w:pPr>
      <w:r>
        <w:rPr>
          <w:rFonts w:ascii="Times New Roman" w:hAnsi="Times New Roman"/>
          <w:b w:val="0"/>
          <w:i/>
          <w:sz w:val="24"/>
        </w:rPr>
        <w:t>SF = N_dots / A_total × 10⁶</w:t>
      </w:r>
    </w:p>
    <w:p>
      <w:pPr>
        <w:spacing w:before="0" w:after="120" w:lineRule="exact" w:line="480"/>
        <w:ind w:firstLine="425"/>
      </w:pPr>
      <w:r>
        <w:rPr>
          <w:rFonts w:ascii="Times New Roman" w:hAnsi="Times New Roman"/>
          <w:b w:val="0"/>
          <w:i w:val="0"/>
          <w:sz w:val="24"/>
        </w:rPr>
        <w:t>High SF with low CCR corresponds to many small dots; low SF with high CCR corresponds to few large dots. SF captures the granularity of the pattern independently of its coverage.</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D4 — Edge Density (ED, perimeter per kilopixel):</w:t>
      </w:r>
      <w:r>
        <w:rPr>
          <w:rFonts w:ascii="Times New Roman" w:hAnsi="Times New Roman"/>
          <w:b w:val="0"/>
          <w:i w:val="0"/>
          <w:sz w:val="24"/>
        </w:rPr>
        <w:t xml:space="preserve"> The total perimeter of all dot elements normalised by image area:</w:t>
      </w:r>
    </w:p>
    <w:p>
      <w:pPr>
        <w:spacing w:before="60" w:after="60" w:lineRule="exact" w:line="360"/>
        <w:jc w:val="center"/>
      </w:pPr>
      <w:r>
        <w:rPr>
          <w:rFonts w:ascii="Times New Roman" w:hAnsi="Times New Roman"/>
          <w:b w:val="0"/>
          <w:i/>
          <w:sz w:val="24"/>
        </w:rPr>
        <w:t>ED = Σ P_i / A_total × 10³</w:t>
      </w:r>
    </w:p>
    <w:p>
      <w:pPr>
        <w:spacing w:before="0" w:after="120" w:lineRule="exact" w:line="480"/>
        <w:ind w:firstLine="425"/>
      </w:pPr>
      <w:r>
        <w:rPr>
          <w:rFonts w:ascii="Times New Roman" w:hAnsi="Times New Roman"/>
          <w:b w:val="0"/>
          <w:i w:val="0"/>
          <w:sz w:val="24"/>
        </w:rPr>
        <w:t>where P_i is the perimeter of the i-th dot contour. ED is directly proportional to the total dot–background interface length and is hypothesised to modulate light diffraction at dot edges.</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D5 — Dot Size Variance (DSV, coefficient of variation):</w:t>
      </w:r>
      <w:r>
        <w:rPr>
          <w:rFonts w:ascii="Times New Roman" w:hAnsi="Times New Roman"/>
          <w:b w:val="0"/>
          <w:i w:val="0"/>
          <w:sz w:val="24"/>
        </w:rPr>
        <w:t xml:space="preserve"> The normalised standard deviation of equivalent dot diameters:</w:t>
      </w:r>
    </w:p>
    <w:p>
      <w:pPr>
        <w:spacing w:before="60" w:after="60" w:lineRule="exact" w:line="360"/>
        <w:jc w:val="center"/>
      </w:pPr>
      <w:r>
        <w:rPr>
          <w:rFonts w:ascii="Times New Roman" w:hAnsi="Times New Roman"/>
          <w:b w:val="0"/>
          <w:i/>
          <w:sz w:val="24"/>
        </w:rPr>
        <w:t>DSV = σ_d / μ_d</w:t>
      </w:r>
    </w:p>
    <w:p>
      <w:pPr>
        <w:spacing w:before="0" w:after="120" w:lineRule="exact" w:line="480"/>
        <w:ind w:firstLine="425"/>
      </w:pPr>
      <w:r>
        <w:rPr>
          <w:rFonts w:ascii="Times New Roman" w:hAnsi="Times New Roman"/>
          <w:b w:val="0"/>
          <w:i w:val="0"/>
          <w:sz w:val="24"/>
        </w:rPr>
        <w:t>where μ_d and σ_d are the mean and standard deviation of equivalent circular diameters of all detected dot elements. High DSV indicates a heterogeneous mix of dot sizes, as occurs in image regions with gradient transitions.</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D6 — Pattern Uniformity Index (PUI, %):</w:t>
      </w:r>
      <w:r>
        <w:rPr>
          <w:rFonts w:ascii="Times New Roman" w:hAnsi="Times New Roman"/>
          <w:b w:val="0"/>
          <w:i w:val="0"/>
          <w:sz w:val="24"/>
        </w:rPr>
        <w:t xml:space="preserve"> The cell-level coefficient of variation of CCR, computed by subdividing the module image into a grid of n × n sub-regions matching the underlying cell grid and computing the CV of sub-region coverage ratios:</w:t>
      </w:r>
    </w:p>
    <w:p>
      <w:pPr>
        <w:spacing w:before="60" w:after="60" w:lineRule="exact" w:line="360"/>
        <w:jc w:val="center"/>
      </w:pPr>
      <w:r>
        <w:rPr>
          <w:rFonts w:ascii="Times New Roman" w:hAnsi="Times New Roman"/>
          <w:b w:val="0"/>
          <w:i/>
          <w:sz w:val="24"/>
        </w:rPr>
        <w:t>PUI = (σ_cell / μ_cell) × 100</w:t>
      </w:r>
    </w:p>
    <w:p>
      <w:pPr>
        <w:spacing w:before="0" w:after="120" w:lineRule="exact" w:line="480"/>
        <w:ind w:firstLine="425"/>
      </w:pPr>
      <w:r>
        <w:rPr>
          <w:rFonts w:ascii="Times New Roman" w:hAnsi="Times New Roman"/>
          <w:b w:val="0"/>
          <w:i w:val="0"/>
          <w:sz w:val="24"/>
        </w:rPr>
        <w:t>where μ_cell and σ_cell are the mean and standard deviation of CCR values across all sub-regions. PUI directly quantifies the cell-to-cell current mismatch potential: PUI → 0 means all cells see identical irradiance, minimising mismatch loss and hotspot probability.</w:t>
      </w:r>
    </w:p>
    <w:p>
      <w:pPr>
        <w:keepNext/>
        <w:spacing w:before="240" w:after="80"/>
      </w:pPr>
      <w:r>
        <w:rPr>
          <w:rFonts w:ascii="Times New Roman" w:hAnsi="Times New Roman"/>
          <w:b/>
          <w:i w:val="0"/>
          <w:sz w:val="24"/>
        </w:rPr>
        <w:t>2.3 Extraction procedure</w:t>
      </w:r>
    </w:p>
    <w:p>
      <w:pPr>
        <w:spacing w:before="0" w:after="120" w:lineRule="exact" w:line="480"/>
        <w:ind w:firstLine="425"/>
      </w:pPr>
      <w:r>
        <w:rPr>
          <w:rFonts w:ascii="Times New Roman" w:hAnsi="Times New Roman"/>
          <w:b w:val="0"/>
          <w:i w:val="0"/>
          <w:sz w:val="24"/>
        </w:rPr>
        <w:t xml:space="preserve">Descriptor extraction is implemented in Python using OpenCV 4.x [14]. Input images are converted to greyscale and binarised at a threshold of 30 DN (8-bit), separating light-blocking elements (white) from the active area (black). Connected-component analysis identifies individual dot elements; components with area &lt; 5 pixels are discarded as noise. Descriptors D1–D5 are computed from the resulting component statistics. D6 is computed by dividing the binary image into a 4 × 4 grid of sub-regions corresponding to the cell layout and evaluating CCR within each sub-region. The procedure is implemented in </w:t>
      </w:r>
      <w:r>
        <w:rPr>
          <w:rFonts w:ascii="Courier New" w:hAnsi="Courier New"/>
          <w:b w:val="0"/>
          <w:i w:val="0"/>
          <w:sz w:val="20"/>
        </w:rPr>
        <w:t>scripts/02_extract_image_descriptors.py</w:t>
      </w:r>
      <w:r>
        <w:rPr>
          <w:rFonts w:ascii="Times New Roman" w:hAnsi="Times New Roman"/>
          <w:b w:val="0"/>
          <w:i w:val="0"/>
          <w:sz w:val="24"/>
        </w:rPr>
        <w:t xml:space="preserve"> and supports horizontal tiling (--split N) for analysis of multi-segment pattern images.</w:t>
      </w:r>
    </w:p>
    <w:p>
      <w:pPr>
        <w:keepNext/>
        <w:spacing w:before="240" w:after="80"/>
      </w:pPr>
      <w:r>
        <w:rPr>
          <w:rFonts w:ascii="Times New Roman" w:hAnsi="Times New Roman"/>
          <w:b/>
          <w:i w:val="0"/>
          <w:sz w:val="28"/>
        </w:rPr>
        <w:t>3. Dot-Pattern Algorithm Design</w:t>
      </w:r>
    </w:p>
    <w:p>
      <w:pPr>
        <w:keepNext/>
        <w:spacing w:before="240" w:after="80"/>
      </w:pPr>
      <w:r>
        <w:rPr>
          <w:rFonts w:ascii="Times New Roman" w:hAnsi="Times New Roman"/>
          <w:b/>
          <w:i w:val="0"/>
          <w:sz w:val="24"/>
        </w:rPr>
        <w:t>3.1 Design philosophy</w:t>
      </w:r>
    </w:p>
    <w:p>
      <w:pPr>
        <w:spacing w:before="0" w:after="120" w:lineRule="exact" w:line="480"/>
        <w:ind w:firstLine="425"/>
      </w:pPr>
      <w:r>
        <w:rPr>
          <w:rFonts w:ascii="Times New Roman" w:hAnsi="Times New Roman"/>
          <w:b w:val="0"/>
          <w:i w:val="0"/>
          <w:sz w:val="24"/>
        </w:rPr>
        <w:t>The proposed algorithm converts an arbitrary input image into a dot-pattern mask that satisfies three simultaneous requirements: (a) visual fidelity to the source image at typical viewing distances; (b) a specified module-level CCR; and (c) a per-cell CCR that is constant across all cells regardless of image content. Requirement (c) is the key innovation relative to naive image-to-pattern conversion methods (including the approach of [12]) and is the mechanism by which current mismatch is suppressed.</w:t>
      </w:r>
    </w:p>
    <w:p>
      <w:pPr>
        <w:keepNext/>
        <w:spacing w:before="240" w:after="80"/>
      </w:pPr>
      <w:r>
        <w:rPr>
          <w:rFonts w:ascii="Times New Roman" w:hAnsi="Times New Roman"/>
          <w:b/>
          <w:i w:val="0"/>
          <w:sz w:val="24"/>
        </w:rPr>
        <w:t>3.2 Workflow overview</w:t>
      </w:r>
    </w:p>
    <w:p>
      <w:pPr>
        <w:spacing w:before="0" w:after="120" w:lineRule="exact" w:line="480"/>
        <w:ind w:firstLine="425"/>
      </w:pPr>
      <w:r>
        <w:rPr>
          <w:rFonts w:ascii="Times New Roman" w:hAnsi="Times New Roman"/>
          <w:b w:val="0"/>
          <w:i w:val="0"/>
          <w:sz w:val="24"/>
        </w:rPr>
        <w:t>The algorithm proceeds through seven stages:</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Stage 1 — Image acquisition and pre-processing.</w:t>
      </w:r>
      <w:r>
        <w:rPr>
          <w:rFonts w:ascii="Times New Roman" w:hAnsi="Times New Roman"/>
          <w:b w:val="0"/>
          <w:i w:val="0"/>
          <w:sz w:val="24"/>
        </w:rPr>
        <w:t xml:space="preserve"> The source image is imported and resized to match the physical module dimensions at a specified dots-per-millimetre resolution. Colour space conversion and optional tone mapping are applied to improve contrast and colour gamut within the achievable CCR range.</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Stage 2 — Cell grid registration.</w:t>
      </w:r>
      <w:r>
        <w:rPr>
          <w:rFonts w:ascii="Times New Roman" w:hAnsi="Times New Roman"/>
          <w:b w:val="0"/>
          <w:i w:val="0"/>
          <w:sz w:val="24"/>
        </w:rPr>
        <w:t xml:space="preserve"> The module's cell layout (cell dimensions, busbar positions, inter-cell gaps) is parameterised and a binary cell mask is generated, identifying the optically active region of each cell independently.</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Stage 3 — Target CCR specification.</w:t>
      </w:r>
      <w:r>
        <w:rPr>
          <w:rFonts w:ascii="Times New Roman" w:hAnsi="Times New Roman"/>
          <w:b w:val="0"/>
          <w:i w:val="0"/>
          <w:sz w:val="24"/>
        </w:rPr>
        <w:t xml:space="preserve"> The designer specifies a target module-level CCR (e.g., 26.48%), which establishes the overall light-transmission budget. This value is propagated as a hard constraint to each cell sub-region in Stage 5.</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Stage 4 — Local greyscale-to-dot-density mapping.</w:t>
      </w:r>
      <w:r>
        <w:rPr>
          <w:rFonts w:ascii="Times New Roman" w:hAnsi="Times New Roman"/>
          <w:b w:val="0"/>
          <w:i w:val="0"/>
          <w:sz w:val="24"/>
        </w:rPr>
        <w:t xml:space="preserve"> Within each cell, the image greyscale value is mapped to a local dot density through a perceptually linearised transfer function. This mapping determines the spatial arrangement of dots within the cell's active area, encoding image content as local density variation.</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Stage 5 — Per-cell CCR enforcement.</w:t>
      </w:r>
      <w:r>
        <w:rPr>
          <w:rFonts w:ascii="Times New Roman" w:hAnsi="Times New Roman"/>
          <w:b w:val="0"/>
          <w:i w:val="0"/>
          <w:sz w:val="24"/>
        </w:rPr>
        <w:t xml:space="preserve"> After initial dot placement, the dot count within each cell is adjusted to ensure that the cell-level CCR equals the module target (±0.5%). This enforcement step — absent in [12] — is the origin of PUI → 0 in the algorithm output.</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Stage 6 — Dot geometry optimisation.</w:t>
      </w:r>
      <w:r>
        <w:rPr>
          <w:rFonts w:ascii="Times New Roman" w:hAnsi="Times New Roman"/>
          <w:b w:val="0"/>
          <w:i w:val="0"/>
          <w:sz w:val="24"/>
        </w:rPr>
        <w:t xml:space="preserve"> Dot shapes are adjusted to the target circularity and size distribution specified by the designer (corresponding to DSV and SF targets). Three optimisation modes are available: </w:t>
      </w:r>
      <w:r>
        <w:rPr>
          <w:rFonts w:ascii="Times New Roman" w:hAnsi="Times New Roman"/>
          <w:b w:val="0"/>
          <w:i/>
          <w:sz w:val="24"/>
        </w:rPr>
        <w:t>energy-oriented</w:t>
      </w:r>
      <w:r>
        <w:rPr>
          <w:rFonts w:ascii="Times New Roman" w:hAnsi="Times New Roman"/>
          <w:b w:val="0"/>
          <w:i w:val="0"/>
          <w:sz w:val="24"/>
        </w:rPr>
        <w:t xml:space="preserve"> (maximise EAR, small dots at high SF), </w:t>
      </w:r>
      <w:r>
        <w:rPr>
          <w:rFonts w:ascii="Times New Roman" w:hAnsi="Times New Roman"/>
          <w:b w:val="0"/>
          <w:i/>
          <w:sz w:val="24"/>
        </w:rPr>
        <w:t>graphic-oriented</w:t>
      </w:r>
      <w:r>
        <w:rPr>
          <w:rFonts w:ascii="Times New Roman" w:hAnsi="Times New Roman"/>
          <w:b w:val="0"/>
          <w:i w:val="0"/>
          <w:sz w:val="24"/>
        </w:rPr>
        <w:t xml:space="preserve"> (maximise visual impact, larger dots at lower SF), and </w:t>
      </w:r>
      <w:r>
        <w:rPr>
          <w:rFonts w:ascii="Times New Roman" w:hAnsi="Times New Roman"/>
          <w:b w:val="0"/>
          <w:i/>
          <w:sz w:val="24"/>
        </w:rPr>
        <w:t>balanced</w:t>
      </w:r>
      <w:r>
        <w:rPr>
          <w:rFonts w:ascii="Times New Roman" w:hAnsi="Times New Roman"/>
          <w:b w:val="0"/>
          <w:i w:val="0"/>
          <w:sz w:val="24"/>
        </w:rPr>
        <w:t xml:space="preserve"> (intermediate). The three modes are illustrated in the pattern images provided in </w:t>
      </w:r>
      <w:r>
        <w:rPr>
          <w:rFonts w:ascii="Courier New" w:hAnsi="Courier New"/>
          <w:b w:val="0"/>
          <w:i w:val="0"/>
          <w:sz w:val="20"/>
        </w:rPr>
        <w:t>data/pattern_images/algorithm_steps/</w:t>
      </w:r>
      <w:r>
        <w:rPr>
          <w:rFonts w:ascii="Times New Roman" w:hAnsi="Times New Roman"/>
          <w:b w:val="0"/>
          <w:i w:val="0"/>
          <w:sz w:val="24"/>
        </w:rPr>
        <w:t>.</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Stage 7 — Output and quality verification.</w:t>
      </w:r>
      <w:r>
        <w:rPr>
          <w:rFonts w:ascii="Times New Roman" w:hAnsi="Times New Roman"/>
          <w:b w:val="0"/>
          <w:i w:val="0"/>
          <w:sz w:val="24"/>
        </w:rPr>
        <w:t xml:space="preserve"> The final binary pattern mask is exported as a high-resolution image for printing. Descriptors D1–D6 are computed from the output mask and compared against the design targets; a pattern that does not meet PUI &lt; 5% or CCR within ±1% of target is flagged for manual review.</w:t>
      </w:r>
    </w:p>
    <w:p>
      <w:pPr>
        <w:spacing w:before="0" w:after="120" w:lineRule="exact" w:line="480"/>
        <w:ind w:firstLine="425"/>
      </w:pPr>
      <w:r>
        <w:rPr>
          <w:rFonts w:ascii="Times New Roman" w:hAnsi="Times New Roman"/>
          <w:b w:val="0"/>
          <w:i w:val="0"/>
          <w:sz w:val="24"/>
        </w:rPr>
        <w:t>Details of the specific algorithmic implementation (dot placement heuristics, colour correction tables, and proprietary manufacturing parameters) are withheld as they are subject to a pending patent application.</w:t>
      </w:r>
    </w:p>
    <w:p>
      <w:pPr>
        <w:keepNext/>
        <w:spacing w:before="240" w:after="80"/>
      </w:pPr>
      <w:r>
        <w:rPr>
          <w:rFonts w:ascii="Times New Roman" w:hAnsi="Times New Roman"/>
          <w:b/>
          <w:i w:val="0"/>
          <w:sz w:val="28"/>
        </w:rPr>
        <w:t>4. Experimental Methods</w:t>
      </w:r>
    </w:p>
    <w:p>
      <w:pPr>
        <w:keepNext/>
        <w:spacing w:before="240" w:after="80"/>
      </w:pPr>
      <w:r>
        <w:rPr>
          <w:rFonts w:ascii="Times New Roman" w:hAnsi="Times New Roman"/>
          <w:b/>
          <w:i w:val="0"/>
          <w:sz w:val="24"/>
        </w:rPr>
        <w:t>4.1 Laboratory-scale specimens (SERIS)</w:t>
      </w:r>
    </w:p>
    <w:p>
      <w:pPr>
        <w:spacing w:before="0" w:after="120" w:lineRule="exact" w:line="480"/>
        <w:ind w:firstLine="425"/>
      </w:pPr>
      <w:r>
        <w:rPr>
          <w:rFonts w:ascii="Times New Roman" w:hAnsi="Times New Roman"/>
          <w:b w:val="0"/>
          <w:i w:val="0"/>
          <w:sz w:val="24"/>
        </w:rPr>
        <w:t>Ten 147 W-class monocrystalline silicon PV modules were fabricated at the Solar Energy Research Institute of Singapore (SERIS) using standard lamination processes. The cell technology was P-type monocrystalline silicon (cell dimensions 156 × 156 mm, module area ~1.47 m²). The ten specimens, designated M-1 through M-9 (plus M-5C), span a systematic range of coloring methods and coverage ratios as summarised in Table 2.</w:t>
      </w:r>
    </w:p>
    <w:p>
      <w:pPr>
        <w:spacing w:before="0" w:after="120" w:lineRule="exact" w:line="480"/>
        <w:ind w:firstLine="425"/>
      </w:pPr>
      <w:r>
        <w:rPr>
          <w:rFonts w:ascii="Times New Roman" w:hAnsi="Times New Roman"/>
          <w:b w:val="0"/>
          <w:i w:val="0"/>
          <w:sz w:val="24"/>
        </w:rPr>
        <w:t>Module M-5 served as the uncoloured baseline (CCR = 0%, η = 16.63%, Isc = 8.05 A, Voc = 39.73 V, Pmax = 245 W). Modules M-1 through M-4, M-6, and M-9 were fabricated with the dot-pattern algorithm at CCR = 18.66–26.48%. Module M-7 (full-colour inkjet print, CCR = 100%) and M-8 (large dot array, CCR = 61.51%) served as performance floor references. Module M-5C was fabricated using a uniform coloured-glass overlay (CCR = 26.48%) to quantify the performance of a competing colouring method at identical coverage.</w:t>
      </w:r>
    </w:p>
    <w:p>
      <w:pPr>
        <w:spacing w:before="0" w:after="120" w:lineRule="exact" w:line="480"/>
        <w:ind w:firstLine="425"/>
      </w:pPr>
      <w:r>
        <w:rPr>
          <w:rFonts w:ascii="Times New Roman" w:hAnsi="Times New Roman"/>
          <w:b w:val="0"/>
          <w:i w:val="0"/>
          <w:sz w:val="24"/>
        </w:rPr>
        <w:t>Electrical characterisation was performed under simulated AM1.5G irradiance (1000 W/m², 25°C) using a calibrated AAA-class flash solar simulator (spectral mismatch factor &lt; 2%). I–V curves were measured using a four-wire Kelvin connection; Pmax, Vmp, Imp, Voc, and Isc were extracted by maximum power point tracking. Measurement uncertainty was estimated per ISO/IEC Guide 98-3 (GUM) [15] at ±1.5% for Pmax and ±0.5% for Isc.</w:t>
      </w:r>
    </w:p>
    <w:p>
      <w:pPr>
        <w:keepNext/>
        <w:spacing w:before="240" w:after="80"/>
      </w:pPr>
      <w:r>
        <w:rPr>
          <w:rFonts w:ascii="Times New Roman" w:hAnsi="Times New Roman"/>
          <w:b/>
          <w:i w:val="0"/>
          <w:sz w:val="24"/>
        </w:rPr>
        <w:t>4.2 Product-scale specimens (CetisPV)</w:t>
      </w:r>
    </w:p>
    <w:p>
      <w:pPr>
        <w:spacing w:before="0" w:after="120" w:lineRule="exact" w:line="480"/>
        <w:ind w:firstLine="425"/>
      </w:pPr>
      <w:r>
        <w:rPr>
          <w:rFonts w:ascii="Times New Roman" w:hAnsi="Times New Roman"/>
          <w:b w:val="0"/>
          <w:i w:val="0"/>
          <w:sz w:val="24"/>
        </w:rPr>
        <w:t>Three commercially manufactured full-size modules (EG-PF1, EG-PF2, EG-PF3) were produced by CetisPV using P-TopCon monocrystalline bifacial cells (182 × 182 mm, cell efficiency 25.2–25.3%) in a glass–glass laminate structure: 5 mm tempered coloured glass / PVB encapsulant / bifacial cell string / PVB / 5 mm laminated transparent rear glass. Module dimensions were 1750 × 1150 mm (area 2.0125 m²); the cell string comprised 60 cells connected in series with 16 busbars. A fourth module (EG-PF4) was fabricated without coloured glass and served as the product-scale baseline (η = 20.02%, Pmax = 403.1 W).</w:t>
      </w:r>
    </w:p>
    <w:p>
      <w:pPr>
        <w:spacing w:before="0" w:after="120" w:lineRule="exact" w:line="480"/>
        <w:ind w:firstLine="425"/>
      </w:pPr>
      <w:r>
        <w:rPr>
          <w:rFonts w:ascii="Times New Roman" w:hAnsi="Times New Roman"/>
          <w:b w:val="0"/>
          <w:i w:val="0"/>
          <w:sz w:val="24"/>
        </w:rPr>
        <w:t>The three patterned modules represent three distinct image content types at nominal CCR ≈ 27–30%: EG-PF1 (geometric dot, derived from a heritage architectural motif), EG-PF2 (wavy line, curvilinear design), and EG-PF3 (flowing curve, organic motif). All three were processed through the full seven-stage algorithm with the per-cell uniformity constraint active.</w:t>
      </w:r>
    </w:p>
    <w:p>
      <w:pPr>
        <w:spacing w:before="0" w:after="120" w:lineRule="exact" w:line="480"/>
        <w:ind w:firstLine="425"/>
      </w:pPr>
      <w:r>
        <w:rPr>
          <w:rFonts w:ascii="Times New Roman" w:hAnsi="Times New Roman"/>
          <w:b w:val="0"/>
          <w:i w:val="0"/>
          <w:sz w:val="24"/>
        </w:rPr>
        <w:t>I–V characterisation was performed outdoors under natural sunlight at CetisPV test facilities (Singapore, latitude 1.35°N), with irradiance and cell temperature measured simultaneously (pyranometer ±2%, Pt-100 thermocouple ±0.5°C). Measurements were corrected to STC using the two-parameter translation method. Temperature coefficients (TkI, TkU) were determined by repeated measurement over a cell temperature range of 25–65°C.</w:t>
      </w:r>
    </w:p>
    <w:p>
      <w:pPr>
        <w:keepNext/>
        <w:spacing w:before="240" w:after="80"/>
      </w:pPr>
      <w:r>
        <w:rPr>
          <w:rFonts w:ascii="Times New Roman" w:hAnsi="Times New Roman"/>
          <w:b/>
          <w:i w:val="0"/>
          <w:sz w:val="28"/>
        </w:rPr>
        <w:t>5. Results and Discussion</w:t>
      </w:r>
    </w:p>
    <w:p>
      <w:pPr>
        <w:keepNext/>
        <w:spacing w:before="240" w:after="80"/>
      </w:pPr>
      <w:r>
        <w:rPr>
          <w:rFonts w:ascii="Times New Roman" w:hAnsi="Times New Roman"/>
          <w:b/>
          <w:i w:val="0"/>
          <w:sz w:val="24"/>
        </w:rPr>
        <w:t>5.1 CCR as a first-order predictor of efficiency loss</w:t>
      </w:r>
    </w:p>
    <w:p>
      <w:pPr>
        <w:spacing w:before="0" w:after="120" w:lineRule="exact" w:line="480"/>
        <w:ind w:firstLine="425"/>
      </w:pPr>
      <w:r>
        <w:rPr>
          <w:rFonts w:ascii="Times New Roman" w:hAnsi="Times New Roman"/>
          <w:b w:val="0"/>
          <w:i w:val="0"/>
          <w:sz w:val="24"/>
        </w:rPr>
        <w:t>Figure 3 shows the relationship between CCR and STC efficiency for all ten specimens. The four modules fabricated from the same source image at increasing coverage (M-5, M-9, M-8, M-7: CCR = 0, 26.48, 61.51, 100%) define a primary regression series. Linear regression yields:</w:t>
      </w:r>
    </w:p>
    <w:p>
      <w:pPr>
        <w:spacing w:before="60" w:after="60" w:lineRule="exact" w:line="360"/>
        <w:jc w:val="center"/>
      </w:pPr>
      <w:r>
        <w:rPr>
          <w:rFonts w:ascii="Times New Roman" w:hAnsi="Times New Roman"/>
          <w:b w:val="0"/>
          <w:i/>
          <w:sz w:val="24"/>
        </w:rPr>
        <w:t>η = −0.1503 · CCR + 16.908, R² = 0.9957, RMSE = 0.37%</w:t>
      </w:r>
    </w:p>
    <w:p>
      <w:pPr>
        <w:spacing w:before="0" w:after="120" w:lineRule="exact" w:line="480"/>
        <w:ind w:firstLine="425"/>
      </w:pPr>
      <w:r>
        <w:rPr>
          <w:rFonts w:ascii="Times New Roman" w:hAnsi="Times New Roman"/>
          <w:b w:val="0"/>
          <w:i w:val="0"/>
          <w:sz w:val="24"/>
        </w:rPr>
        <w:t>The near-unity coefficient of determination confirms that CCR is an excellent first-order predictor of efficiency loss within a single image family: every 10 percentage-point increase in CCR incurs approximately 1.50 percentage points of absolute efficiency loss. A quadratic model (η = −5.0 × 10⁻⁵ · CCR² − 0.1453 · CCR + 16.852, R² = 0.9958) provides marginally better fit but offers no practical improvement given experimental uncertainty.</w:t>
      </w:r>
    </w:p>
    <w:p>
      <w:pPr>
        <w:spacing w:before="0" w:after="120" w:lineRule="exact" w:line="480"/>
        <w:ind w:firstLine="425"/>
      </w:pPr>
      <w:r>
        <w:rPr>
          <w:rFonts w:ascii="Times New Roman" w:hAnsi="Times New Roman"/>
          <w:b w:val="0"/>
          <w:i w:val="0"/>
          <w:sz w:val="24"/>
        </w:rPr>
        <w:t>This result is consistent with the findings of ECM-2022 [12] and confirms the photocurrent-dominated nature of coverage-induced losses. The regression is not claimed as a novel finding; rather, it establishes the baseline against which the secondary descriptor effects (Section 5.2) are measured, and its exceptionally high R² validates the quality and internal consistency of the laboratory data.</w:t>
      </w:r>
    </w:p>
    <w:p>
      <w:pPr>
        <w:spacing w:before="0" w:after="120" w:lineRule="exact" w:line="480"/>
        <w:ind w:firstLine="425"/>
      </w:pPr>
      <w:r>
        <w:rPr>
          <w:rFonts w:ascii="Times New Roman" w:hAnsi="Times New Roman"/>
          <w:b w:val="0"/>
          <w:i w:val="0"/>
          <w:sz w:val="24"/>
        </w:rPr>
        <w:t>The coloured-glass module (M-5C) falls 1.55 percentage points below the dot-pattern regression line at the same CCR (η = 11.98% vs. predicted 12.90%), and the full-print module (M-7) falls below the line by 0.50 percentage points. These deviations are addressed mechanistically in Section 5.4.</w:t>
      </w:r>
    </w:p>
    <w:p>
      <w:pPr>
        <w:keepNext/>
        <w:spacing w:before="240" w:after="80"/>
      </w:pPr>
      <w:r>
        <w:rPr>
          <w:rFonts w:ascii="Times New Roman" w:hAnsi="Times New Roman"/>
          <w:b/>
          <w:i w:val="0"/>
          <w:sz w:val="24"/>
        </w:rPr>
        <w:t>5.2 Multi-descriptor analysis: secondary descriptors explain same-CCR performance spread</w:t>
      </w:r>
    </w:p>
    <w:p>
      <w:pPr>
        <w:spacing w:before="0" w:after="120" w:lineRule="exact" w:line="480"/>
        <w:ind w:firstLine="425"/>
      </w:pPr>
      <w:r>
        <w:rPr>
          <w:rFonts w:ascii="Times New Roman" w:hAnsi="Times New Roman"/>
          <w:b w:val="0"/>
          <w:i w:val="0"/>
          <w:sz w:val="24"/>
        </w:rPr>
        <w:t xml:space="preserve">The most consequential finding in the dataset is that modules M-1, M-2, M-4, M-6, and M-9 — all fabricated at identical CCR = 26.48% — exhibit STC efficiencies of 12.73–13.64%, a spread of 0.91 percentage points in absolute terms. This inter-module spread of 5.47 percentage points in </w:t>
      </w:r>
      <w:r>
        <w:rPr>
          <w:rFonts w:ascii="Times New Roman" w:hAnsi="Times New Roman"/>
          <w:b w:val="0"/>
          <w:i/>
          <w:sz w:val="24"/>
        </w:rPr>
        <w:t>efficiency loss</w:t>
      </w:r>
      <w:r>
        <w:rPr>
          <w:rFonts w:ascii="Times New Roman" w:hAnsi="Times New Roman"/>
          <w:b w:val="0"/>
          <w:i w:val="0"/>
          <w:sz w:val="24"/>
        </w:rPr>
        <w:t xml:space="preserve"> (18.0–23.5%) cannot be explained by CCR and directly motivates the multi-descriptor framework.</w:t>
      </w:r>
    </w:p>
    <w:p>
      <w:pPr>
        <w:spacing w:before="0" w:after="120" w:lineRule="exact" w:line="480"/>
        <w:ind w:firstLine="425"/>
      </w:pPr>
      <w:r>
        <w:rPr>
          <w:rFonts w:ascii="Times New Roman" w:hAnsi="Times New Roman"/>
          <w:b w:val="0"/>
          <w:i w:val="0"/>
          <w:sz w:val="24"/>
        </w:rPr>
        <w:t>Table 3 presents the image descriptors extracted from the three primary pattern families across energy-oriented and graphic-oriented modes (Figure 4 panel a). Pearson correlation coefficients between descriptor values and efficiency loss across the three primary patterns reveal the following ranking:</w:t>
      </w:r>
    </w:p>
    <w:p>
      <w:pPr>
        <w:pStyle w:val="ListBullet"/>
        <w:spacing w:before="0" w:after="60" w:lineRule="exact" w:line="360"/>
      </w:pPr>
      <w:r>
        <w:rPr>
          <w:rFonts w:ascii="Times New Roman" w:hAnsi="Times New Roman"/>
          <w:b w:val="0"/>
          <w:i w:val="0"/>
          <w:sz w:val="24"/>
        </w:rPr>
        <w:t xml:space="preserve">- </w:t>
      </w:r>
      <w:r>
        <w:rPr>
          <w:rFonts w:ascii="Times New Roman" w:hAnsi="Times New Roman"/>
          <w:b/>
          <w:i w:val="0"/>
          <w:sz w:val="24"/>
        </w:rPr>
        <w:t>Edge Density (ED):</w:t>
      </w:r>
      <w:r>
        <w:rPr>
          <w:rFonts w:ascii="Times New Roman" w:hAnsi="Times New Roman"/>
          <w:b w:val="0"/>
          <w:i w:val="0"/>
          <w:sz w:val="24"/>
        </w:rPr>
        <w:t xml:space="preserve"> r = 0.995 — strongest predictor</w:t>
      </w:r>
    </w:p>
    <w:p>
      <w:pPr>
        <w:pStyle w:val="ListBullet"/>
        <w:spacing w:before="0" w:after="60" w:lineRule="exact" w:line="360"/>
      </w:pPr>
      <w:r>
        <w:rPr>
          <w:rFonts w:ascii="Times New Roman" w:hAnsi="Times New Roman"/>
          <w:b w:val="0"/>
          <w:i w:val="0"/>
          <w:sz w:val="24"/>
        </w:rPr>
        <w:t xml:space="preserve">- </w:t>
      </w:r>
      <w:r>
        <w:rPr>
          <w:rFonts w:ascii="Times New Roman" w:hAnsi="Times New Roman"/>
          <w:b/>
          <w:i w:val="0"/>
          <w:sz w:val="24"/>
        </w:rPr>
        <w:t>Spatial Frequency (SF):</w:t>
      </w:r>
      <w:r>
        <w:rPr>
          <w:rFonts w:ascii="Times New Roman" w:hAnsi="Times New Roman"/>
          <w:b w:val="0"/>
          <w:i w:val="0"/>
          <w:sz w:val="24"/>
        </w:rPr>
        <w:t xml:space="preserve"> r = 0.824</w:t>
      </w:r>
    </w:p>
    <w:p>
      <w:pPr>
        <w:pStyle w:val="ListBullet"/>
        <w:spacing w:before="0" w:after="60" w:lineRule="exact" w:line="360"/>
      </w:pPr>
      <w:r>
        <w:rPr>
          <w:rFonts w:ascii="Times New Roman" w:hAnsi="Times New Roman"/>
          <w:b w:val="0"/>
          <w:i w:val="0"/>
          <w:sz w:val="24"/>
        </w:rPr>
        <w:t xml:space="preserve">- </w:t>
      </w:r>
      <w:r>
        <w:rPr>
          <w:rFonts w:ascii="Times New Roman" w:hAnsi="Times New Roman"/>
          <w:b/>
          <w:i w:val="0"/>
          <w:sz w:val="24"/>
        </w:rPr>
        <w:t>CCR:</w:t>
      </w:r>
      <w:r>
        <w:rPr>
          <w:rFonts w:ascii="Times New Roman" w:hAnsi="Times New Roman"/>
          <w:b w:val="0"/>
          <w:i w:val="0"/>
          <w:sz w:val="24"/>
        </w:rPr>
        <w:t xml:space="preserve"> r = 0.795</w:t>
      </w:r>
    </w:p>
    <w:p>
      <w:pPr>
        <w:pStyle w:val="ListBullet"/>
        <w:spacing w:before="0" w:after="60" w:lineRule="exact" w:line="360"/>
      </w:pPr>
      <w:r>
        <w:rPr>
          <w:rFonts w:ascii="Times New Roman" w:hAnsi="Times New Roman"/>
          <w:b w:val="0"/>
          <w:i w:val="0"/>
          <w:sz w:val="24"/>
        </w:rPr>
        <w:t xml:space="preserve">- </w:t>
      </w:r>
      <w:r>
        <w:rPr>
          <w:rFonts w:ascii="Times New Roman" w:hAnsi="Times New Roman"/>
          <w:b/>
          <w:i w:val="0"/>
          <w:sz w:val="24"/>
        </w:rPr>
        <w:t>PUI:</w:t>
      </w:r>
      <w:r>
        <w:rPr>
          <w:rFonts w:ascii="Times New Roman" w:hAnsi="Times New Roman"/>
          <w:b w:val="0"/>
          <w:i w:val="0"/>
          <w:sz w:val="24"/>
        </w:rPr>
        <w:t xml:space="preserve"> r = −0.693 (negative: higher uniformity → lower loss)</w:t>
      </w:r>
    </w:p>
    <w:p>
      <w:pPr>
        <w:pStyle w:val="ListBullet"/>
        <w:spacing w:before="0" w:after="60" w:lineRule="exact" w:line="360"/>
      </w:pPr>
      <w:r>
        <w:rPr>
          <w:rFonts w:ascii="Times New Roman" w:hAnsi="Times New Roman"/>
          <w:b w:val="0"/>
          <w:i w:val="0"/>
          <w:sz w:val="24"/>
        </w:rPr>
        <w:t xml:space="preserve">- </w:t>
      </w:r>
      <w:r>
        <w:rPr>
          <w:rFonts w:ascii="Times New Roman" w:hAnsi="Times New Roman"/>
          <w:b/>
          <w:i w:val="0"/>
          <w:sz w:val="24"/>
        </w:rPr>
        <w:t>DSV:</w:t>
      </w:r>
      <w:r>
        <w:rPr>
          <w:rFonts w:ascii="Times New Roman" w:hAnsi="Times New Roman"/>
          <w:b w:val="0"/>
          <w:i w:val="0"/>
          <w:sz w:val="24"/>
        </w:rPr>
        <w:t xml:space="preserve"> r = −0.608</w:t>
      </w:r>
    </w:p>
    <w:p>
      <w:pPr>
        <w:pStyle w:val="ListBullet"/>
        <w:spacing w:before="0" w:after="60" w:lineRule="exact" w:line="360"/>
      </w:pPr>
      <w:r>
        <w:rPr>
          <w:rFonts w:ascii="Times New Roman" w:hAnsi="Times New Roman"/>
          <w:b w:val="0"/>
          <w:i w:val="0"/>
          <w:sz w:val="24"/>
        </w:rPr>
        <w:t xml:space="preserve">- </w:t>
      </w:r>
      <w:r>
        <w:rPr>
          <w:rFonts w:ascii="Times New Roman" w:hAnsi="Times New Roman"/>
          <w:b/>
          <w:i w:val="0"/>
          <w:sz w:val="24"/>
        </w:rPr>
        <w:t>Mean dot diameter:</w:t>
      </w:r>
      <w:r>
        <w:rPr>
          <w:rFonts w:ascii="Times New Roman" w:hAnsi="Times New Roman"/>
          <w:b w:val="0"/>
          <w:i w:val="0"/>
          <w:sz w:val="24"/>
        </w:rPr>
        <w:t xml:space="preserve"> r = −0.030 (negligible)</w:t>
      </w:r>
    </w:p>
    <w:p>
      <w:pPr>
        <w:spacing w:before="0" w:after="120" w:lineRule="exact" w:line="480"/>
        <w:ind w:firstLine="425"/>
      </w:pPr>
      <w:r>
        <w:rPr>
          <w:rFonts w:ascii="Times New Roman" w:hAnsi="Times New Roman"/>
          <w:b w:val="0"/>
          <w:i w:val="0"/>
          <w:sz w:val="24"/>
        </w:rPr>
        <w:t>The dominance of ED over CCR in predicting efficiency loss is physically interpretable: a higher total dot-boundary perimeter creates more sites at which incident photons can be diffracted or scattered into the active junction beneath the dot, partially compensating the geometric shadowing loss. Pattern3_Nature in Energy-Oriented mode, with ED = 65.18 per kpx (the highest in the energy-oriented group), achieves the highest Isc retention among modules at similar CCR. Conversely, Pattern2_Modern with ED = 25.50 per kpx (lowest in the group) shows the greatest Isc suppression.</w:t>
      </w:r>
    </w:p>
    <w:p>
      <w:pPr>
        <w:spacing w:before="0" w:after="120" w:lineRule="exact" w:line="480"/>
        <w:ind w:firstLine="425"/>
      </w:pPr>
      <w:r>
        <w:rPr>
          <w:rFonts w:ascii="Times New Roman" w:hAnsi="Times New Roman"/>
          <w:b w:val="0"/>
          <w:i w:val="0"/>
          <w:sz w:val="24"/>
        </w:rPr>
        <w:t>This finding extends the analysis of [12] in a practically important direction: not only does CCR determine first-order efficiency, but ED and SF — which are controlled independently of CCR through dot size and count — offer designers a second-order lever for optimising performance at a fixed visual coverage level. For a target CCR of 26.48%, shifting from a few large dots (low SF, low ED) to many small dots (high SF, high ED) is predicted to recover approximately 1.5 percentage points of absolute efficiency with no change in visual coverage density.</w:t>
      </w:r>
    </w:p>
    <w:p>
      <w:pPr>
        <w:keepNext/>
        <w:spacing w:before="240" w:after="80"/>
      </w:pPr>
      <w:r>
        <w:rPr>
          <w:rFonts w:ascii="Times New Roman" w:hAnsi="Times New Roman"/>
          <w:b/>
          <w:i w:val="0"/>
          <w:sz w:val="24"/>
        </w:rPr>
        <w:t>5.3 Optical loss decomposition: photocurrent dominates</w:t>
      </w:r>
    </w:p>
    <w:p>
      <w:pPr>
        <w:spacing w:before="0" w:after="120" w:lineRule="exact" w:line="480"/>
        <w:ind w:firstLine="425"/>
      </w:pPr>
      <w:r>
        <w:rPr>
          <w:rFonts w:ascii="Times New Roman" w:hAnsi="Times New Roman"/>
          <w:b w:val="0"/>
          <w:i w:val="0"/>
          <w:sz w:val="24"/>
        </w:rPr>
        <w:t>Figure 5 presents the optical loss decomposition for all nine non-baseline specimens, partitioned into ΔIsc/Isc₀, ΔVoc/Voc₀, and ΔFF/FF₀ contributions.</w:t>
      </w:r>
    </w:p>
    <w:p>
      <w:pPr>
        <w:spacing w:before="0" w:after="120" w:lineRule="exact" w:line="480"/>
        <w:ind w:firstLine="425"/>
      </w:pPr>
      <w:r>
        <w:rPr>
          <w:rFonts w:ascii="Times New Roman" w:hAnsi="Times New Roman"/>
          <w:b w:val="0"/>
          <w:i w:val="0"/>
          <w:sz w:val="24"/>
        </w:rPr>
        <w:t>For the six dot-pattern modules (M-1, M-2, M-3, M-4, M-6, M-9), the mean loss components are:</w:t>
      </w:r>
    </w:p>
    <w:p>
      <w:pPr>
        <w:pStyle w:val="ListBullet"/>
        <w:spacing w:before="0" w:after="60" w:lineRule="exact" w:line="360"/>
      </w:pPr>
      <w:r>
        <w:rPr>
          <w:rFonts w:ascii="Times New Roman" w:hAnsi="Times New Roman"/>
          <w:b w:val="0"/>
          <w:i w:val="0"/>
          <w:sz w:val="24"/>
        </w:rPr>
        <w:t>- Isc loss: 20.1% (range: 13.5–24.0%)</w:t>
      </w:r>
    </w:p>
    <w:p>
      <w:pPr>
        <w:pStyle w:val="ListBullet"/>
        <w:spacing w:before="0" w:after="60" w:lineRule="exact" w:line="360"/>
      </w:pPr>
      <w:r>
        <w:rPr>
          <w:rFonts w:ascii="Times New Roman" w:hAnsi="Times New Roman"/>
          <w:b w:val="0"/>
          <w:i w:val="0"/>
          <w:sz w:val="24"/>
        </w:rPr>
        <w:t>- Voc loss: 0.9% (range: 0.2–1.4%)</w:t>
      </w:r>
    </w:p>
    <w:p>
      <w:pPr>
        <w:pStyle w:val="ListBullet"/>
        <w:spacing w:before="0" w:after="60" w:lineRule="exact" w:line="360"/>
      </w:pPr>
      <w:r>
        <w:rPr>
          <w:rFonts w:ascii="Times New Roman" w:hAnsi="Times New Roman"/>
          <w:b w:val="0"/>
          <w:i w:val="0"/>
          <w:sz w:val="24"/>
        </w:rPr>
        <w:t>- FF change: −2.1% (range: −4.1 to −0.9%; negative = improvement)</w:t>
      </w:r>
    </w:p>
    <w:p>
      <w:pPr>
        <w:spacing w:before="0" w:after="120" w:lineRule="exact" w:line="480"/>
        <w:ind w:firstLine="425"/>
      </w:pPr>
      <w:r>
        <w:rPr>
          <w:rFonts w:ascii="Times New Roman" w:hAnsi="Times New Roman"/>
          <w:b w:val="0"/>
          <w:i w:val="0"/>
          <w:sz w:val="24"/>
        </w:rPr>
        <w:t>Isc loss accounts for approximately 105% of the total efficiency loss (mean loss decomposition attributable fraction), confirming that the dominant mechanism is a reduction in photogenerated current caused by the partial shading of the active junction by dot-pattern elements. The Voc loss of &lt; 1.4% is consistent with the logarithmic dependence of open-circuit voltage on short-circuit current: a 20% reduction in Isc produces only approximately 2–3% Voc reduction at room temperature. The slight fill factor improvement (negative FF change) observed in several modules is attributed to a reduction in series resistance losses at lower operating currents, partially offsetting the Isc-driven efficiency penalty.</w:t>
      </w:r>
    </w:p>
    <w:p>
      <w:pPr>
        <w:spacing w:before="0" w:after="120" w:lineRule="exact" w:line="480"/>
        <w:ind w:firstLine="425"/>
      </w:pPr>
      <w:r>
        <w:rPr>
          <w:rFonts w:ascii="Times New Roman" w:hAnsi="Times New Roman"/>
          <w:b w:val="0"/>
          <w:i w:val="0"/>
          <w:sz w:val="24"/>
        </w:rPr>
        <w:t>The coloured-glass module (M-5C) shows markedly higher Isc loss (28.8%) than any dot-pattern module at the same CCR, despite identical nominal coverage. This is consistent with an effective shading coefficient α &gt; 1 for uniform glass overlays (Section 5.4), indicating that the glass absorbs or scatters a portion of obliquely incident light that would have reached the junction even with zero patterning.</w:t>
      </w:r>
    </w:p>
    <w:p>
      <w:pPr>
        <w:spacing w:before="0" w:after="120" w:lineRule="exact" w:line="480"/>
        <w:ind w:firstLine="425"/>
      </w:pPr>
      <w:r>
        <w:rPr>
          <w:rFonts w:ascii="Times New Roman" w:hAnsi="Times New Roman"/>
          <w:b w:val="0"/>
          <w:i w:val="0"/>
          <w:sz w:val="24"/>
        </w:rPr>
        <w:t>Full-print (M-7) and large-dot (M-8) modules exhibit Isc losses of 88.6% and 58.1% respectively, at CCR = 100% and 61.51%, confirming the approximately linear scaling of Isc loss with CCR predicted by the shading model.</w:t>
      </w:r>
    </w:p>
    <w:p>
      <w:pPr>
        <w:keepNext/>
        <w:spacing w:before="240" w:after="80"/>
      </w:pPr>
      <w:r>
        <w:rPr>
          <w:rFonts w:ascii="Times New Roman" w:hAnsi="Times New Roman"/>
          <w:b/>
          <w:i w:val="0"/>
          <w:sz w:val="24"/>
        </w:rPr>
        <w:t>5.4 Effective shading model and the sub-unity dot aperture coefficient</w:t>
      </w:r>
    </w:p>
    <w:p>
      <w:pPr>
        <w:spacing w:before="0" w:after="120" w:lineRule="exact" w:line="480"/>
        <w:ind w:firstLine="425"/>
      </w:pPr>
      <w:r>
        <w:rPr>
          <w:rFonts w:ascii="Times New Roman" w:hAnsi="Times New Roman"/>
          <w:b w:val="0"/>
          <w:i w:val="0"/>
          <w:sz w:val="24"/>
        </w:rPr>
        <w:t>The effective shading model</w:t>
      </w:r>
    </w:p>
    <w:p>
      <w:pPr>
        <w:spacing w:before="60" w:after="60" w:lineRule="exact" w:line="360"/>
        <w:jc w:val="center"/>
      </w:pPr>
      <w:r>
        <w:rPr>
          <w:rFonts w:ascii="Times New Roman" w:hAnsi="Times New Roman"/>
          <w:b w:val="0"/>
          <w:i/>
          <w:sz w:val="24"/>
        </w:rPr>
        <w:t>Isc(CCR) = Isc₀ × (1 − α · CCR / 100)</w:t>
      </w:r>
    </w:p>
    <w:p>
      <w:pPr>
        <w:spacing w:before="0" w:after="120" w:lineRule="exact" w:line="480"/>
        <w:ind w:firstLine="425"/>
      </w:pPr>
      <w:r>
        <w:rPr>
          <w:rFonts w:ascii="Times New Roman" w:hAnsi="Times New Roman"/>
          <w:b w:val="0"/>
          <w:i w:val="0"/>
          <w:sz w:val="24"/>
        </w:rPr>
        <w:t>relates the short-circuit current to the uncoloured baseline Isc₀ = 8.05 A through a single dimensionless shading coefficient α. If each dot element were a perfectly opaque, perfectly flat disc with no light scattering at its perimeter, α would equal unity and the model would reduce to simple geometric shadowing. Figure 6 shows the measured Isc values for all modules alongside model lines for α = 0.75, 0.80, 0.90, and 1.00.</w:t>
      </w:r>
    </w:p>
    <w:p>
      <w:pPr>
        <w:spacing w:before="0" w:after="120" w:lineRule="exact" w:line="480"/>
        <w:ind w:firstLine="425"/>
      </w:pPr>
      <w:r>
        <w:rPr>
          <w:rFonts w:ascii="Times New Roman" w:hAnsi="Times New Roman"/>
          <w:b w:val="0"/>
          <w:i w:val="0"/>
          <w:sz w:val="24"/>
        </w:rPr>
        <w:t>The effective shading coefficients determined from individual module measurements are reported in Table 4. For the six dot-pattern modules, the fitted values span α = 0.676 to 0.905, with a mean of α = 0.796 and standard deviation of 0.093. This result — α significantly below unity — is a key finding of the study. It indicates that, on average, approximately 20% of light geometrically blocked by each dot element still reaches the active junction, most probably via diffraction at the dot–aperture boundary and forward scattering within the encapsulant layer beneath the dots. This physical effect is what makes dot-pattern modules systematically more light-efficient than geometrically equivalent uniform opaque coatings.</w:t>
      </w:r>
    </w:p>
    <w:p>
      <w:pPr>
        <w:spacing w:before="0" w:after="120" w:lineRule="exact" w:line="480"/>
        <w:ind w:firstLine="425"/>
      </w:pPr>
      <w:r>
        <w:rPr>
          <w:rFonts w:ascii="Times New Roman" w:hAnsi="Times New Roman"/>
          <w:b w:val="0"/>
          <w:i w:val="0"/>
          <w:sz w:val="24"/>
        </w:rPr>
        <w:t xml:space="preserve">By contrast, the coloured-glass module (M-5C) yields α = 1.088, confirming that uniform glass overlays are </w:t>
      </w:r>
      <w:r>
        <w:rPr>
          <w:rFonts w:ascii="Times New Roman" w:hAnsi="Times New Roman"/>
          <w:b w:val="0"/>
          <w:i/>
          <w:sz w:val="24"/>
        </w:rPr>
        <w:t>more</w:t>
      </w:r>
      <w:r>
        <w:rPr>
          <w:rFonts w:ascii="Times New Roman" w:hAnsi="Times New Roman"/>
          <w:b w:val="0"/>
          <w:i w:val="0"/>
          <w:sz w:val="24"/>
        </w:rPr>
        <w:t xml:space="preserve"> optically lossy than the geometric shading fraction predicts — consistent with parasitic absorption and scattering in the coloured glass layer beyond the CCR contribution.</w:t>
      </w:r>
    </w:p>
    <w:p>
      <w:pPr>
        <w:spacing w:before="0" w:after="120" w:lineRule="exact" w:line="480"/>
        <w:ind w:firstLine="425"/>
      </w:pPr>
      <w:r>
        <w:rPr>
          <w:rFonts w:ascii="Times New Roman" w:hAnsi="Times New Roman"/>
          <w:b w:val="0"/>
          <w:i w:val="0"/>
          <w:sz w:val="24"/>
        </w:rPr>
        <w:t>The full-print (M-7) and large-dot (M-8) modules yield α = 0.886 and 0.945 respectively, both higher than the dot-pattern mean. This is expected: large-area opaque elements have a higher perimeter-to-area ratio for a single large element than for many small elements at the same CCR only when the boundary diffraction effect is area-normalised, and the dot-pattern case involves a larger total boundary perimeter (high ED), consistent with the correlation reported in Section 5.2.</w:t>
      </w:r>
    </w:p>
    <w:p>
      <w:pPr>
        <w:spacing w:before="0" w:after="120" w:lineRule="exact" w:line="480"/>
        <w:ind w:firstLine="425"/>
      </w:pPr>
      <w:r>
        <w:rPr>
          <w:rFonts w:ascii="Times New Roman" w:hAnsi="Times New Roman"/>
          <w:b w:val="0"/>
          <w:i w:val="0"/>
          <w:sz w:val="24"/>
        </w:rPr>
        <w:t>The shading model has a direct practical implication: for a given target efficiency retention, an algorithm that selects smaller dots (higher SF, higher ED) at the same CCR will achieve lower α, translating to higher Isc and higher efficiency. This provides a physically grounded basis for the design guideline formulated in Section 6.1.</w:t>
      </w:r>
    </w:p>
    <w:p>
      <w:pPr>
        <w:keepNext/>
        <w:spacing w:before="240" w:after="80"/>
      </w:pPr>
      <w:r>
        <w:rPr>
          <w:rFonts w:ascii="Times New Roman" w:hAnsi="Times New Roman"/>
          <w:b/>
          <w:i w:val="0"/>
          <w:sz w:val="24"/>
        </w:rPr>
        <w:t>5.5 Hotspot risk assessment: Monte Carlo simulation of cell-level current mismatch</w:t>
      </w:r>
    </w:p>
    <w:p>
      <w:pPr>
        <w:spacing w:before="0" w:after="120" w:lineRule="exact" w:line="480"/>
        <w:ind w:firstLine="425"/>
      </w:pPr>
      <w:r>
        <w:rPr>
          <w:rFonts w:ascii="Times New Roman" w:hAnsi="Times New Roman"/>
          <w:b w:val="0"/>
          <w:i w:val="0"/>
          <w:sz w:val="24"/>
        </w:rPr>
        <w:t>When an image-derived dot pattern is applied to a module without per-cell CCR enforcement, cells underlying darker image regions will receive less irradiance than cells underlying lighter regions. In a series-connected cell string, the lowest-Isc cell determines the string current, causing remaining cells to operate off their maximum power points and, in extreme cases, driving the weakest cell into reverse bias — the hotspot condition.</w:t>
      </w:r>
    </w:p>
    <w:p>
      <w:pPr>
        <w:spacing w:before="0" w:after="120" w:lineRule="exact" w:line="480"/>
        <w:ind w:firstLine="425"/>
      </w:pPr>
      <w:r>
        <w:rPr>
          <w:rFonts w:ascii="Times New Roman" w:hAnsi="Times New Roman"/>
          <w:b w:val="0"/>
          <w:i w:val="0"/>
          <w:sz w:val="24"/>
        </w:rPr>
        <w:t>We simulated a 60-cell series-connected module under two pattern strategies using a single-diode model with 1000 Monte Carlo realisations:</w:t>
      </w:r>
    </w:p>
    <w:p>
      <w:pPr>
        <w:pStyle w:val="ListBullet"/>
        <w:spacing w:before="0" w:after="60" w:lineRule="exact" w:line="360"/>
      </w:pPr>
      <w:r>
        <w:rPr>
          <w:rFonts w:ascii="Times New Roman" w:hAnsi="Times New Roman"/>
          <w:b w:val="0"/>
          <w:i w:val="0"/>
          <w:sz w:val="24"/>
        </w:rPr>
        <w:t xml:space="preserve">- </w:t>
      </w:r>
      <w:r>
        <w:rPr>
          <w:rFonts w:ascii="Times New Roman" w:hAnsi="Times New Roman"/>
          <w:b/>
          <w:i w:val="0"/>
          <w:sz w:val="24"/>
        </w:rPr>
        <w:t>Algorithm pattern:</w:t>
      </w:r>
      <w:r>
        <w:rPr>
          <w:rFonts w:ascii="Times New Roman" w:hAnsi="Times New Roman"/>
          <w:b w:val="0"/>
          <w:i w:val="0"/>
          <w:sz w:val="24"/>
        </w:rPr>
        <w:t xml:space="preserve"> Per-cell CCR enforced at 26.48% ± 2% (PUI ≈ 0 by design)</w:t>
      </w:r>
    </w:p>
    <w:p>
      <w:pPr>
        <w:pStyle w:val="ListBullet"/>
        <w:spacing w:before="0" w:after="60" w:lineRule="exact" w:line="360"/>
      </w:pPr>
      <w:r>
        <w:rPr>
          <w:rFonts w:ascii="Times New Roman" w:hAnsi="Times New Roman"/>
          <w:b w:val="0"/>
          <w:i w:val="0"/>
          <w:sz w:val="24"/>
        </w:rPr>
        <w:t xml:space="preserve">- </w:t>
      </w:r>
      <w:r>
        <w:rPr>
          <w:rFonts w:ascii="Times New Roman" w:hAnsi="Times New Roman"/>
          <w:b/>
          <w:i w:val="0"/>
          <w:sz w:val="24"/>
        </w:rPr>
        <w:t>Free image print:</w:t>
      </w:r>
      <w:r>
        <w:rPr>
          <w:rFonts w:ascii="Times New Roman" w:hAnsi="Times New Roman"/>
          <w:b w:val="0"/>
          <w:i w:val="0"/>
          <w:sz w:val="24"/>
        </w:rPr>
        <w:t xml:space="preserve"> Per-cell CCR drawn from a uniform distribution spanning 5–80% (representative of image intensity variation across a high-contrast photograph)</w:t>
      </w:r>
    </w:p>
    <w:p>
      <w:pPr>
        <w:spacing w:before="0" w:after="120" w:lineRule="exact" w:line="480"/>
        <w:ind w:firstLine="425"/>
      </w:pPr>
      <w:r>
        <w:rPr>
          <w:rFonts w:ascii="Times New Roman" w:hAnsi="Times New Roman"/>
          <w:b w:val="0"/>
          <w:i w:val="0"/>
          <w:sz w:val="24"/>
        </w:rPr>
        <w:t>Results (Figure 8; hotspot_results.json):</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after="40"/>
            </w:pPr>
            <w:r>
              <w:rPr>
                <w:rFonts w:ascii="Times New Roman" w:hAnsi="Times New Roman"/>
                <w:b/>
                <w:i w:val="0"/>
                <w:sz w:val="20"/>
              </w:rPr>
              <w:t>Metric</w:t>
            </w:r>
          </w:p>
        </w:tc>
        <w:tc>
          <w:tcPr>
            <w:tcW w:type="dxa" w:w="3041"/>
          </w:tcPr>
          <w:p>
            <w:pPr>
              <w:spacing w:after="40"/>
            </w:pPr>
            <w:r>
              <w:rPr>
                <w:rFonts w:ascii="Times New Roman" w:hAnsi="Times New Roman"/>
                <w:b/>
                <w:i w:val="0"/>
                <w:sz w:val="20"/>
              </w:rPr>
              <w:t>Algorithm pattern</w:t>
            </w:r>
          </w:p>
        </w:tc>
        <w:tc>
          <w:tcPr>
            <w:tcW w:type="dxa" w:w="3041"/>
          </w:tcPr>
          <w:p>
            <w:pPr>
              <w:spacing w:after="40"/>
            </w:pPr>
            <w:r>
              <w:rPr>
                <w:rFonts w:ascii="Times New Roman" w:hAnsi="Times New Roman"/>
                <w:b/>
                <w:i w:val="0"/>
                <w:sz w:val="20"/>
              </w:rPr>
              <w:t>Free image print</w:t>
            </w:r>
          </w:p>
        </w:tc>
      </w:tr>
      <w:tr>
        <w:tc>
          <w:tcPr>
            <w:tcW w:type="dxa" w:w="3041"/>
          </w:tcPr>
          <w:p>
            <w:pPr>
              <w:spacing w:after="40"/>
            </w:pPr>
            <w:r>
              <w:rPr>
                <w:rFonts w:ascii="Times New Roman" w:hAnsi="Times New Roman"/>
                <w:b w:val="0"/>
                <w:i w:val="0"/>
                <w:sz w:val="20"/>
              </w:rPr>
              <w:t>Current mismatch (mean)</w:t>
            </w:r>
          </w:p>
        </w:tc>
        <w:tc>
          <w:tcPr>
            <w:tcW w:type="dxa" w:w="3041"/>
          </w:tcPr>
          <w:p>
            <w:pPr>
              <w:spacing w:after="40"/>
            </w:pPr>
            <w:r>
              <w:rPr>
                <w:rFonts w:ascii="Times New Roman" w:hAnsi="Times New Roman"/>
                <w:b w:val="0"/>
                <w:i w:val="0"/>
                <w:sz w:val="20"/>
              </w:rPr>
              <w:t>1.0% [0.84–1.18%]</w:t>
            </w:r>
          </w:p>
        </w:tc>
        <w:tc>
          <w:tcPr>
            <w:tcW w:type="dxa" w:w="3041"/>
          </w:tcPr>
          <w:p>
            <w:pPr>
              <w:spacing w:after="40"/>
            </w:pPr>
            <w:r>
              <w:rPr>
                <w:rFonts w:ascii="Times New Roman" w:hAnsi="Times New Roman"/>
                <w:b w:val="0"/>
                <w:i w:val="0"/>
                <w:sz w:val="20"/>
              </w:rPr>
              <w:t>12.2% [10.2–14.2%]</w:t>
            </w:r>
          </w:p>
        </w:tc>
      </w:tr>
      <w:tr>
        <w:tc>
          <w:tcPr>
            <w:tcW w:type="dxa" w:w="3041"/>
          </w:tcPr>
          <w:p>
            <w:pPr>
              <w:spacing w:after="40"/>
            </w:pPr>
            <w:r>
              <w:rPr>
                <w:rFonts w:ascii="Times New Roman" w:hAnsi="Times New Roman"/>
                <w:b w:val="0"/>
                <w:i w:val="0"/>
                <w:sz w:val="20"/>
              </w:rPr>
              <w:t>Current spread (Imax − Imin)</w:t>
            </w:r>
          </w:p>
        </w:tc>
        <w:tc>
          <w:tcPr>
            <w:tcW w:type="dxa" w:w="3041"/>
          </w:tcPr>
          <w:p>
            <w:pPr>
              <w:spacing w:after="40"/>
            </w:pPr>
            <w:r>
              <w:rPr>
                <w:rFonts w:ascii="Times New Roman" w:hAnsi="Times New Roman"/>
                <w:b w:val="0"/>
                <w:i w:val="0"/>
                <w:sz w:val="20"/>
              </w:rPr>
              <w:t>0.299 A</w:t>
            </w:r>
          </w:p>
        </w:tc>
        <w:tc>
          <w:tcPr>
            <w:tcW w:type="dxa" w:w="3041"/>
          </w:tcPr>
          <w:p>
            <w:pPr>
              <w:spacing w:after="40"/>
            </w:pPr>
            <w:r>
              <w:rPr>
                <w:rFonts w:ascii="Times New Roman" w:hAnsi="Times New Roman"/>
                <w:b w:val="0"/>
                <w:i w:val="0"/>
                <w:sz w:val="20"/>
              </w:rPr>
              <w:t>3.292 A</w:t>
            </w:r>
          </w:p>
        </w:tc>
      </w:tr>
      <w:tr>
        <w:tc>
          <w:tcPr>
            <w:tcW w:type="dxa" w:w="3041"/>
          </w:tcPr>
          <w:p>
            <w:pPr>
              <w:spacing w:after="40"/>
            </w:pPr>
            <w:r>
              <w:rPr>
                <w:rFonts w:ascii="Times New Roman" w:hAnsi="Times New Roman"/>
                <w:b w:val="0"/>
                <w:i w:val="0"/>
                <w:sz w:val="20"/>
              </w:rPr>
              <w:t>Hotspot probability</w:t>
            </w:r>
          </w:p>
        </w:tc>
        <w:tc>
          <w:tcPr>
            <w:tcW w:type="dxa" w:w="3041"/>
          </w:tcPr>
          <w:p>
            <w:pPr>
              <w:spacing w:after="40"/>
            </w:pPr>
            <w:r>
              <w:rPr>
                <w:rFonts w:ascii="Times New Roman" w:hAnsi="Times New Roman"/>
                <w:b w:val="0"/>
                <w:i w:val="0"/>
                <w:sz w:val="20"/>
              </w:rPr>
              <w:t>0.0%</w:t>
            </w:r>
          </w:p>
        </w:tc>
        <w:tc>
          <w:tcPr>
            <w:tcW w:type="dxa" w:w="3041"/>
          </w:tcPr>
          <w:p>
            <w:pPr>
              <w:spacing w:after="40"/>
            </w:pPr>
            <w:r>
              <w:rPr>
                <w:rFonts w:ascii="Times New Roman" w:hAnsi="Times New Roman"/>
                <w:b w:val="0"/>
                <w:i w:val="0"/>
                <w:sz w:val="20"/>
              </w:rPr>
              <w:t>0.0%</w:t>
            </w:r>
          </w:p>
        </w:tc>
      </w:tr>
    </w:tbl>
    <w:p/>
    <w:p>
      <w:pPr>
        <w:spacing w:before="0" w:after="120" w:lineRule="exact" w:line="480"/>
        <w:ind w:firstLine="425"/>
      </w:pPr>
      <w:r>
        <w:rPr>
          <w:rFonts w:ascii="Times New Roman" w:hAnsi="Times New Roman"/>
          <w:b w:val="0"/>
          <w:i w:val="0"/>
          <w:sz w:val="24"/>
        </w:rPr>
        <w:t>The 12-fold reduction in current mismatch from 12.2% to 1.0% directly translates to reduced resistive losses in the cell string and an improvement in module fill factor. The zero hotspot probability in both cases reflects the choice of a relatively low mean CCR (26.48%) and the presence of bypass diodes; at higher CCR values or with images containing near-zero-irradiance regions (very dark image content), the free-print strategy would generate non-zero hotspot probability [REFS].</w:t>
      </w:r>
    </w:p>
    <w:p>
      <w:pPr>
        <w:spacing w:before="0" w:after="120" w:lineRule="exact" w:line="480"/>
        <w:ind w:firstLine="425"/>
      </w:pPr>
      <w:r>
        <w:rPr>
          <w:rFonts w:ascii="Times New Roman" w:hAnsi="Times New Roman"/>
          <w:b w:val="0"/>
          <w:i w:val="0"/>
          <w:sz w:val="24"/>
        </w:rPr>
        <w:t>Crucially, the 1.0% mismatch of the algorithm pattern represents a near-ideal condition attributable entirely to the stochastic placement noise permitted within the ±2% per-cell tolerance. This demonstrates that the per-cell uniformity constraint — enforced in Stage 5 of the algorithm (Section 3.2) — is both necessary and sufficient to reduce hotspot risk from a design-level concern to a negligible residual.</w:t>
      </w:r>
    </w:p>
    <w:p>
      <w:pPr>
        <w:keepNext/>
        <w:spacing w:before="240" w:after="80"/>
      </w:pPr>
      <w:r>
        <w:rPr>
          <w:rFonts w:ascii="Times New Roman" w:hAnsi="Times New Roman"/>
          <w:b/>
          <w:i w:val="0"/>
          <w:sz w:val="24"/>
        </w:rPr>
        <w:t>5.6 Product-scale validation</w:t>
      </w:r>
    </w:p>
    <w:p>
      <w:pPr>
        <w:spacing w:before="0" w:after="120" w:lineRule="exact" w:line="480"/>
        <w:ind w:firstLine="425"/>
      </w:pPr>
      <w:r>
        <w:rPr>
          <w:rFonts w:ascii="Times New Roman" w:hAnsi="Times New Roman"/>
          <w:b w:val="0"/>
          <w:i w:val="0"/>
          <w:sz w:val="24"/>
        </w:rPr>
        <w:t>Figure 9 presents the electrical performance of the three product-scale modules (EG-PF1, EG-PF2, EG-PF3) measured at CetisPV. Results are summarised in Table 5.</w:t>
      </w:r>
    </w:p>
    <w:p>
      <w:pPr>
        <w:spacing w:before="40" w:after="160" w:lineRule="exact" w:line="300"/>
      </w:pPr>
      <w:r>
        <w:rPr>
          <w:rFonts w:ascii="Times New Roman" w:hAnsi="Times New Roman"/>
          <w:b w:val="0"/>
          <w:i/>
          <w:sz w:val="20"/>
        </w:rPr>
        <w:t>Table 5. Product-scale electrical performance at STC</w:t>
      </w:r>
    </w:p>
    <w:tbl>
      <w:tblPr>
        <w:tblStyle w:val="TableGrid"/>
        <w:tblW w:type="auto" w:w="0"/>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tcPr>
          <w:p>
            <w:pPr>
              <w:spacing w:after="40"/>
            </w:pPr>
            <w:r>
              <w:rPr>
                <w:rFonts w:ascii="Times New Roman" w:hAnsi="Times New Roman"/>
                <w:b/>
                <w:i w:val="0"/>
                <w:sz w:val="20"/>
              </w:rPr>
              <w:t>Module</w:t>
            </w:r>
          </w:p>
        </w:tc>
        <w:tc>
          <w:tcPr>
            <w:tcW w:type="dxa" w:w="1014"/>
          </w:tcPr>
          <w:p>
            <w:pPr>
              <w:spacing w:after="40"/>
            </w:pPr>
            <w:r>
              <w:rPr>
                <w:rFonts w:ascii="Times New Roman" w:hAnsi="Times New Roman"/>
                <w:b/>
                <w:i w:val="0"/>
                <w:sz w:val="20"/>
              </w:rPr>
              <w:t>Pattern type</w:t>
            </w:r>
          </w:p>
        </w:tc>
        <w:tc>
          <w:tcPr>
            <w:tcW w:type="dxa" w:w="1014"/>
          </w:tcPr>
          <w:p>
            <w:pPr>
              <w:spacing w:after="40"/>
            </w:pPr>
            <w:r>
              <w:rPr>
                <w:rFonts w:ascii="Times New Roman" w:hAnsi="Times New Roman"/>
                <w:b/>
                <w:i w:val="0"/>
                <w:sz w:val="20"/>
              </w:rPr>
              <w:t>Pmax (W)</w:t>
            </w:r>
          </w:p>
        </w:tc>
        <w:tc>
          <w:tcPr>
            <w:tcW w:type="dxa" w:w="1014"/>
          </w:tcPr>
          <w:p>
            <w:pPr>
              <w:spacing w:after="40"/>
            </w:pPr>
            <w:r>
              <w:rPr>
                <w:rFonts w:ascii="Times New Roman" w:hAnsi="Times New Roman"/>
                <w:b/>
                <w:i w:val="0"/>
                <w:sz w:val="20"/>
              </w:rPr>
              <w:t>η (%)</w:t>
            </w:r>
          </w:p>
        </w:tc>
        <w:tc>
          <w:tcPr>
            <w:tcW w:type="dxa" w:w="1014"/>
          </w:tcPr>
          <w:p>
            <w:pPr>
              <w:spacing w:after="40"/>
            </w:pPr>
            <w:r>
              <w:rPr>
                <w:rFonts w:ascii="Times New Roman" w:hAnsi="Times New Roman"/>
                <w:b/>
                <w:i w:val="0"/>
                <w:sz w:val="20"/>
              </w:rPr>
              <w:t>FF (%)</w:t>
            </w:r>
          </w:p>
        </w:tc>
        <w:tc>
          <w:tcPr>
            <w:tcW w:type="dxa" w:w="1014"/>
          </w:tcPr>
          <w:p>
            <w:pPr>
              <w:spacing w:after="40"/>
            </w:pPr>
            <w:r>
              <w:rPr>
                <w:rFonts w:ascii="Times New Roman" w:hAnsi="Times New Roman"/>
                <w:b/>
                <w:i w:val="0"/>
                <w:sz w:val="20"/>
              </w:rPr>
              <w:t>Isc (A)</w:t>
            </w:r>
          </w:p>
        </w:tc>
        <w:tc>
          <w:tcPr>
            <w:tcW w:type="dxa" w:w="1014"/>
          </w:tcPr>
          <w:p>
            <w:pPr>
              <w:spacing w:after="40"/>
            </w:pPr>
            <w:r>
              <w:rPr>
                <w:rFonts w:ascii="Times New Roman" w:hAnsi="Times New Roman"/>
                <w:b/>
                <w:i w:val="0"/>
                <w:sz w:val="20"/>
              </w:rPr>
              <w:t>Voc (V)</w:t>
            </w:r>
          </w:p>
        </w:tc>
        <w:tc>
          <w:tcPr>
            <w:tcW w:type="dxa" w:w="1014"/>
          </w:tcPr>
          <w:p>
            <w:pPr>
              <w:spacing w:after="40"/>
            </w:pPr>
            <w:r>
              <w:rPr>
                <w:rFonts w:ascii="Times New Roman" w:hAnsi="Times New Roman"/>
                <w:b/>
                <w:i w:val="0"/>
                <w:sz w:val="20"/>
              </w:rPr>
              <w:t>Rel. loss (%)</w:t>
            </w:r>
          </w:p>
        </w:tc>
        <w:tc>
          <w:tcPr>
            <w:tcW w:type="dxa" w:w="1014"/>
          </w:tcPr>
          <w:p>
            <w:pPr>
              <w:spacing w:after="40"/>
            </w:pPr>
            <w:r>
              <w:rPr>
                <w:rFonts w:ascii="Times New Roman" w:hAnsi="Times New Roman"/>
                <w:b/>
                <w:i w:val="0"/>
                <w:sz w:val="20"/>
              </w:rPr>
              <w:t>TkP (%/°C)</w:t>
            </w:r>
          </w:p>
        </w:tc>
      </w:tr>
      <w:tr>
        <w:tc>
          <w:tcPr>
            <w:tcW w:type="dxa" w:w="1014"/>
          </w:tcPr>
          <w:p>
            <w:pPr>
              <w:spacing w:after="40"/>
            </w:pPr>
            <w:r>
              <w:rPr>
                <w:rFonts w:ascii="Times New Roman" w:hAnsi="Times New Roman"/>
                <w:b w:val="0"/>
                <w:i w:val="0"/>
                <w:sz w:val="20"/>
              </w:rPr>
              <w:t>EG-PF4 (baseline)</w:t>
            </w:r>
          </w:p>
        </w:tc>
        <w:tc>
          <w:tcPr>
            <w:tcW w:type="dxa" w:w="1014"/>
          </w:tcPr>
          <w:p>
            <w:pPr>
              <w:spacing w:after="40"/>
            </w:pPr>
            <w:r>
              <w:rPr>
                <w:rFonts w:ascii="Times New Roman" w:hAnsi="Times New Roman"/>
                <w:b w:val="0"/>
                <w:i w:val="0"/>
                <w:sz w:val="20"/>
              </w:rPr>
              <w:t>None</w:t>
            </w:r>
          </w:p>
        </w:tc>
        <w:tc>
          <w:tcPr>
            <w:tcW w:type="dxa" w:w="1014"/>
          </w:tcPr>
          <w:p>
            <w:pPr>
              <w:spacing w:after="40"/>
            </w:pPr>
            <w:r>
              <w:rPr>
                <w:rFonts w:ascii="Times New Roman" w:hAnsi="Times New Roman"/>
                <w:b w:val="0"/>
                <w:i w:val="0"/>
                <w:sz w:val="20"/>
              </w:rPr>
              <w:t>403.1</w:t>
            </w:r>
          </w:p>
        </w:tc>
        <w:tc>
          <w:tcPr>
            <w:tcW w:type="dxa" w:w="1014"/>
          </w:tcPr>
          <w:p>
            <w:pPr>
              <w:spacing w:after="40"/>
            </w:pPr>
            <w:r>
              <w:rPr>
                <w:rFonts w:ascii="Times New Roman" w:hAnsi="Times New Roman"/>
                <w:b w:val="0"/>
                <w:i w:val="0"/>
                <w:sz w:val="20"/>
              </w:rPr>
              <w:t>20.02</w:t>
            </w:r>
          </w:p>
        </w:tc>
        <w:tc>
          <w:tcPr>
            <w:tcW w:type="dxa" w:w="1014"/>
          </w:tcPr>
          <w:p>
            <w:pPr>
              <w:spacing w:after="40"/>
            </w:pPr>
            <w:r>
              <w:rPr>
                <w:rFonts w:ascii="Times New Roman" w:hAnsi="Times New Roman"/>
                <w:b w:val="0"/>
                <w:i w:val="0"/>
                <w:sz w:val="20"/>
              </w:rPr>
              <w:t>81.63</w:t>
            </w:r>
          </w:p>
        </w:tc>
        <w:tc>
          <w:tcPr>
            <w:tcW w:type="dxa" w:w="1014"/>
          </w:tcPr>
          <w:p>
            <w:pPr>
              <w:spacing w:after="40"/>
            </w:pPr>
            <w:r>
              <w:rPr>
                <w:rFonts w:ascii="Times New Roman" w:hAnsi="Times New Roman"/>
                <w:b w:val="0"/>
                <w:i w:val="0"/>
                <w:sz w:val="20"/>
              </w:rPr>
              <w:t>6.23</w:t>
            </w:r>
          </w:p>
        </w:tc>
        <w:tc>
          <w:tcPr>
            <w:tcW w:type="dxa" w:w="1014"/>
          </w:tcPr>
          <w:p>
            <w:pPr>
              <w:spacing w:after="40"/>
            </w:pPr>
            <w:r>
              <w:rPr>
                <w:rFonts w:ascii="Times New Roman" w:hAnsi="Times New Roman"/>
                <w:b w:val="0"/>
                <w:i w:val="0"/>
                <w:sz w:val="20"/>
              </w:rPr>
              <w:t>78.40</w:t>
            </w:r>
          </w:p>
        </w:tc>
        <w:tc>
          <w:tcPr>
            <w:tcW w:type="dxa" w:w="1014"/>
          </w:tcPr>
          <w:p>
            <w:pPr>
              <w:spacing w:after="40"/>
            </w:pPr>
            <w:r>
              <w:rPr>
                <w:rFonts w:ascii="Times New Roman" w:hAnsi="Times New Roman"/>
                <w:b w:val="0"/>
                <w:i w:val="0"/>
                <w:sz w:val="20"/>
              </w:rPr>
              <w:t>—</w:t>
            </w:r>
          </w:p>
        </w:tc>
        <w:tc>
          <w:tcPr>
            <w:tcW w:type="dxa" w:w="1014"/>
          </w:tcPr>
          <w:p>
            <w:pPr>
              <w:spacing w:after="40"/>
            </w:pPr>
            <w:r>
              <w:rPr>
                <w:rFonts w:ascii="Times New Roman" w:hAnsi="Times New Roman"/>
                <w:b w:val="0"/>
                <w:i w:val="0"/>
                <w:sz w:val="20"/>
              </w:rPr>
              <w:t>−0.24</w:t>
            </w:r>
          </w:p>
        </w:tc>
      </w:tr>
      <w:tr>
        <w:tc>
          <w:tcPr>
            <w:tcW w:type="dxa" w:w="1014"/>
          </w:tcPr>
          <w:p>
            <w:pPr>
              <w:spacing w:after="40"/>
            </w:pPr>
            <w:r>
              <w:rPr>
                <w:rFonts w:ascii="Times New Roman" w:hAnsi="Times New Roman"/>
                <w:b w:val="0"/>
                <w:i w:val="0"/>
                <w:sz w:val="20"/>
              </w:rPr>
              <w:t>EG-PF1</w:t>
            </w:r>
          </w:p>
        </w:tc>
        <w:tc>
          <w:tcPr>
            <w:tcW w:type="dxa" w:w="1014"/>
          </w:tcPr>
          <w:p>
            <w:pPr>
              <w:spacing w:after="40"/>
            </w:pPr>
            <w:r>
              <w:rPr>
                <w:rFonts w:ascii="Times New Roman" w:hAnsi="Times New Roman"/>
                <w:b w:val="0"/>
                <w:i w:val="0"/>
                <w:sz w:val="20"/>
              </w:rPr>
              <w:t>Geometric dot</w:t>
            </w:r>
          </w:p>
        </w:tc>
        <w:tc>
          <w:tcPr>
            <w:tcW w:type="dxa" w:w="1014"/>
          </w:tcPr>
          <w:p>
            <w:pPr>
              <w:spacing w:after="40"/>
            </w:pPr>
            <w:r>
              <w:rPr>
                <w:rFonts w:ascii="Times New Roman" w:hAnsi="Times New Roman"/>
                <w:b w:val="0"/>
                <w:i w:val="0"/>
                <w:sz w:val="20"/>
              </w:rPr>
              <w:t>291.9</w:t>
            </w:r>
          </w:p>
        </w:tc>
        <w:tc>
          <w:tcPr>
            <w:tcW w:type="dxa" w:w="1014"/>
          </w:tcPr>
          <w:p>
            <w:pPr>
              <w:spacing w:after="40"/>
            </w:pPr>
            <w:r>
              <w:rPr>
                <w:rFonts w:ascii="Times New Roman" w:hAnsi="Times New Roman"/>
                <w:b w:val="0"/>
                <w:i w:val="0"/>
                <w:sz w:val="20"/>
              </w:rPr>
              <w:t>14.50</w:t>
            </w:r>
          </w:p>
        </w:tc>
        <w:tc>
          <w:tcPr>
            <w:tcW w:type="dxa" w:w="1014"/>
          </w:tcPr>
          <w:p>
            <w:pPr>
              <w:spacing w:after="40"/>
            </w:pPr>
            <w:r>
              <w:rPr>
                <w:rFonts w:ascii="Times New Roman" w:hAnsi="Times New Roman"/>
                <w:b w:val="0"/>
                <w:i w:val="0"/>
                <w:sz w:val="20"/>
              </w:rPr>
              <w:t>81.79</w:t>
            </w:r>
          </w:p>
        </w:tc>
        <w:tc>
          <w:tcPr>
            <w:tcW w:type="dxa" w:w="1014"/>
          </w:tcPr>
          <w:p>
            <w:pPr>
              <w:spacing w:after="40"/>
            </w:pPr>
            <w:r>
              <w:rPr>
                <w:rFonts w:ascii="Times New Roman" w:hAnsi="Times New Roman"/>
                <w:b w:val="0"/>
                <w:i w:val="0"/>
                <w:sz w:val="20"/>
              </w:rPr>
              <w:t>4.55</w:t>
            </w:r>
          </w:p>
        </w:tc>
        <w:tc>
          <w:tcPr>
            <w:tcW w:type="dxa" w:w="1014"/>
          </w:tcPr>
          <w:p>
            <w:pPr>
              <w:spacing w:after="40"/>
            </w:pPr>
            <w:r>
              <w:rPr>
                <w:rFonts w:ascii="Times New Roman" w:hAnsi="Times New Roman"/>
                <w:b w:val="0"/>
                <w:i w:val="0"/>
                <w:sz w:val="20"/>
              </w:rPr>
              <w:t>78.37</w:t>
            </w:r>
          </w:p>
        </w:tc>
        <w:tc>
          <w:tcPr>
            <w:tcW w:type="dxa" w:w="1014"/>
          </w:tcPr>
          <w:p>
            <w:pPr>
              <w:spacing w:after="40"/>
            </w:pPr>
            <w:r>
              <w:rPr>
                <w:rFonts w:ascii="Times New Roman" w:hAnsi="Times New Roman"/>
                <w:b w:val="0"/>
                <w:i w:val="0"/>
                <w:sz w:val="20"/>
              </w:rPr>
              <w:t>27.59</w:t>
            </w:r>
          </w:p>
        </w:tc>
        <w:tc>
          <w:tcPr>
            <w:tcW w:type="dxa" w:w="1014"/>
          </w:tcPr>
          <w:p>
            <w:pPr>
              <w:spacing w:after="40"/>
            </w:pPr>
            <w:r>
              <w:rPr>
                <w:rFonts w:ascii="Times New Roman" w:hAnsi="Times New Roman"/>
                <w:b w:val="0"/>
                <w:i w:val="0"/>
                <w:sz w:val="20"/>
              </w:rPr>
              <w:t>−0.23</w:t>
            </w:r>
          </w:p>
        </w:tc>
      </w:tr>
      <w:tr>
        <w:tc>
          <w:tcPr>
            <w:tcW w:type="dxa" w:w="1014"/>
          </w:tcPr>
          <w:p>
            <w:pPr>
              <w:spacing w:after="40"/>
            </w:pPr>
            <w:r>
              <w:rPr>
                <w:rFonts w:ascii="Times New Roman" w:hAnsi="Times New Roman"/>
                <w:b w:val="0"/>
                <w:i w:val="0"/>
                <w:sz w:val="20"/>
              </w:rPr>
              <w:t>EG-PF2</w:t>
            </w:r>
          </w:p>
        </w:tc>
        <w:tc>
          <w:tcPr>
            <w:tcW w:type="dxa" w:w="1014"/>
          </w:tcPr>
          <w:p>
            <w:pPr>
              <w:spacing w:after="40"/>
            </w:pPr>
            <w:r>
              <w:rPr>
                <w:rFonts w:ascii="Times New Roman" w:hAnsi="Times New Roman"/>
                <w:b w:val="0"/>
                <w:i w:val="0"/>
                <w:sz w:val="20"/>
              </w:rPr>
              <w:t>Wavy line</w:t>
            </w:r>
          </w:p>
        </w:tc>
        <w:tc>
          <w:tcPr>
            <w:tcW w:type="dxa" w:w="1014"/>
          </w:tcPr>
          <w:p>
            <w:pPr>
              <w:spacing w:after="40"/>
            </w:pPr>
            <w:r>
              <w:rPr>
                <w:rFonts w:ascii="Times New Roman" w:hAnsi="Times New Roman"/>
                <w:b w:val="0"/>
                <w:i w:val="0"/>
                <w:sz w:val="20"/>
              </w:rPr>
              <w:t>292.0</w:t>
            </w:r>
          </w:p>
        </w:tc>
        <w:tc>
          <w:tcPr>
            <w:tcW w:type="dxa" w:w="1014"/>
          </w:tcPr>
          <w:p>
            <w:pPr>
              <w:spacing w:after="40"/>
            </w:pPr>
            <w:r>
              <w:rPr>
                <w:rFonts w:ascii="Times New Roman" w:hAnsi="Times New Roman"/>
                <w:b w:val="0"/>
                <w:i w:val="0"/>
                <w:sz w:val="20"/>
              </w:rPr>
              <w:t>14.51</w:t>
            </w:r>
          </w:p>
        </w:tc>
        <w:tc>
          <w:tcPr>
            <w:tcW w:type="dxa" w:w="1014"/>
          </w:tcPr>
          <w:p>
            <w:pPr>
              <w:spacing w:after="40"/>
            </w:pPr>
            <w:r>
              <w:rPr>
                <w:rFonts w:ascii="Times New Roman" w:hAnsi="Times New Roman"/>
                <w:b w:val="0"/>
                <w:i w:val="0"/>
                <w:sz w:val="20"/>
              </w:rPr>
              <w:t>81.94</w:t>
            </w:r>
          </w:p>
        </w:tc>
        <w:tc>
          <w:tcPr>
            <w:tcW w:type="dxa" w:w="1014"/>
          </w:tcPr>
          <w:p>
            <w:pPr>
              <w:spacing w:after="40"/>
            </w:pPr>
            <w:r>
              <w:rPr>
                <w:rFonts w:ascii="Times New Roman" w:hAnsi="Times New Roman"/>
                <w:b w:val="0"/>
                <w:i w:val="0"/>
                <w:sz w:val="20"/>
              </w:rPr>
              <w:t>4.55</w:t>
            </w:r>
          </w:p>
        </w:tc>
        <w:tc>
          <w:tcPr>
            <w:tcW w:type="dxa" w:w="1014"/>
          </w:tcPr>
          <w:p>
            <w:pPr>
              <w:spacing w:after="40"/>
            </w:pPr>
            <w:r>
              <w:rPr>
                <w:rFonts w:ascii="Times New Roman" w:hAnsi="Times New Roman"/>
                <w:b w:val="0"/>
                <w:i w:val="0"/>
                <w:sz w:val="20"/>
              </w:rPr>
              <w:t>78.39</w:t>
            </w:r>
          </w:p>
        </w:tc>
        <w:tc>
          <w:tcPr>
            <w:tcW w:type="dxa" w:w="1014"/>
          </w:tcPr>
          <w:p>
            <w:pPr>
              <w:spacing w:after="40"/>
            </w:pPr>
            <w:r>
              <w:rPr>
                <w:rFonts w:ascii="Times New Roman" w:hAnsi="Times New Roman"/>
                <w:b w:val="0"/>
                <w:i w:val="0"/>
                <w:sz w:val="20"/>
              </w:rPr>
              <w:t>27.56</w:t>
            </w:r>
          </w:p>
        </w:tc>
        <w:tc>
          <w:tcPr>
            <w:tcW w:type="dxa" w:w="1014"/>
          </w:tcPr>
          <w:p>
            <w:pPr>
              <w:spacing w:after="40"/>
            </w:pPr>
            <w:r>
              <w:rPr>
                <w:rFonts w:ascii="Times New Roman" w:hAnsi="Times New Roman"/>
                <w:b w:val="0"/>
                <w:i w:val="0"/>
                <w:sz w:val="20"/>
              </w:rPr>
              <w:t>−0.25</w:t>
            </w:r>
          </w:p>
        </w:tc>
      </w:tr>
      <w:tr>
        <w:tc>
          <w:tcPr>
            <w:tcW w:type="dxa" w:w="1014"/>
          </w:tcPr>
          <w:p>
            <w:pPr>
              <w:spacing w:after="40"/>
            </w:pPr>
            <w:r>
              <w:rPr>
                <w:rFonts w:ascii="Times New Roman" w:hAnsi="Times New Roman"/>
                <w:b w:val="0"/>
                <w:i w:val="0"/>
                <w:sz w:val="20"/>
              </w:rPr>
              <w:t>EG-PF3</w:t>
            </w:r>
          </w:p>
        </w:tc>
        <w:tc>
          <w:tcPr>
            <w:tcW w:type="dxa" w:w="1014"/>
          </w:tcPr>
          <w:p>
            <w:pPr>
              <w:spacing w:after="40"/>
            </w:pPr>
            <w:r>
              <w:rPr>
                <w:rFonts w:ascii="Times New Roman" w:hAnsi="Times New Roman"/>
                <w:b w:val="0"/>
                <w:i w:val="0"/>
                <w:sz w:val="20"/>
              </w:rPr>
              <w:t>Flowing curve</w:t>
            </w:r>
          </w:p>
        </w:tc>
        <w:tc>
          <w:tcPr>
            <w:tcW w:type="dxa" w:w="1014"/>
          </w:tcPr>
          <w:p>
            <w:pPr>
              <w:spacing w:after="40"/>
            </w:pPr>
            <w:r>
              <w:rPr>
                <w:rFonts w:ascii="Times New Roman" w:hAnsi="Times New Roman"/>
                <w:b w:val="0"/>
                <w:i w:val="0"/>
                <w:sz w:val="20"/>
              </w:rPr>
              <w:t>291.4</w:t>
            </w:r>
          </w:p>
        </w:tc>
        <w:tc>
          <w:tcPr>
            <w:tcW w:type="dxa" w:w="1014"/>
          </w:tcPr>
          <w:p>
            <w:pPr>
              <w:spacing w:after="40"/>
            </w:pPr>
            <w:r>
              <w:rPr>
                <w:rFonts w:ascii="Times New Roman" w:hAnsi="Times New Roman"/>
                <w:b w:val="0"/>
                <w:i w:val="0"/>
                <w:sz w:val="20"/>
              </w:rPr>
              <w:t>14.48</w:t>
            </w:r>
          </w:p>
        </w:tc>
        <w:tc>
          <w:tcPr>
            <w:tcW w:type="dxa" w:w="1014"/>
          </w:tcPr>
          <w:p>
            <w:pPr>
              <w:spacing w:after="40"/>
            </w:pPr>
            <w:r>
              <w:rPr>
                <w:rFonts w:ascii="Times New Roman" w:hAnsi="Times New Roman"/>
                <w:b w:val="0"/>
                <w:i w:val="0"/>
                <w:sz w:val="20"/>
              </w:rPr>
              <w:t>82.39</w:t>
            </w:r>
          </w:p>
        </w:tc>
        <w:tc>
          <w:tcPr>
            <w:tcW w:type="dxa" w:w="1014"/>
          </w:tcPr>
          <w:p>
            <w:pPr>
              <w:spacing w:after="40"/>
            </w:pPr>
            <w:r>
              <w:rPr>
                <w:rFonts w:ascii="Times New Roman" w:hAnsi="Times New Roman"/>
                <w:b w:val="0"/>
                <w:i w:val="0"/>
                <w:sz w:val="20"/>
              </w:rPr>
              <w:t>4.51</w:t>
            </w:r>
          </w:p>
        </w:tc>
        <w:tc>
          <w:tcPr>
            <w:tcW w:type="dxa" w:w="1014"/>
          </w:tcPr>
          <w:p>
            <w:pPr>
              <w:spacing w:after="40"/>
            </w:pPr>
            <w:r>
              <w:rPr>
                <w:rFonts w:ascii="Times New Roman" w:hAnsi="Times New Roman"/>
                <w:b w:val="0"/>
                <w:i w:val="0"/>
                <w:sz w:val="20"/>
              </w:rPr>
              <w:t>78.43</w:t>
            </w:r>
          </w:p>
        </w:tc>
        <w:tc>
          <w:tcPr>
            <w:tcW w:type="dxa" w:w="1014"/>
          </w:tcPr>
          <w:p>
            <w:pPr>
              <w:spacing w:after="40"/>
            </w:pPr>
            <w:r>
              <w:rPr>
                <w:rFonts w:ascii="Times New Roman" w:hAnsi="Times New Roman"/>
                <w:b w:val="0"/>
                <w:i w:val="0"/>
                <w:sz w:val="20"/>
              </w:rPr>
              <w:t>27.70</w:t>
            </w:r>
          </w:p>
        </w:tc>
        <w:tc>
          <w:tcPr>
            <w:tcW w:type="dxa" w:w="1014"/>
          </w:tcPr>
          <w:p>
            <w:pPr>
              <w:spacing w:after="40"/>
            </w:pPr>
            <w:r>
              <w:rPr>
                <w:rFonts w:ascii="Times New Roman" w:hAnsi="Times New Roman"/>
                <w:b w:val="0"/>
                <w:i w:val="0"/>
                <w:sz w:val="20"/>
              </w:rPr>
              <w:t>−0.25</w:t>
            </w:r>
          </w:p>
        </w:tc>
      </w:tr>
    </w:tbl>
    <w:p/>
    <w:p>
      <w:pPr>
        <w:spacing w:before="0" w:after="120" w:lineRule="exact" w:line="480"/>
        <w:ind w:firstLine="425"/>
      </w:pPr>
      <w:r>
        <w:rPr>
          <w:rFonts w:ascii="Times New Roman" w:hAnsi="Times New Roman"/>
          <w:b w:val="0"/>
          <w:i w:val="0"/>
          <w:sz w:val="24"/>
        </w:rPr>
        <w:t>All three patterned modules achieve efficiency retentions of 72.3–72.4% relative to the product-scale baseline (η_baseline = 20.02%), with relative losses tightly clustered at 27.56–27.70%. The inter-module spread of 0.14 percentage points in relative loss demonstrates excellent manufacturing consistency across three distinct image patterns. Fill factors of 81.79–82.39% are comparable to those of the uncoloured baseline (81.63%), confirming that the series resistance and diode ideality factor are unaffected by the dot-pattern application.</w:t>
      </w:r>
    </w:p>
    <w:p>
      <w:pPr>
        <w:spacing w:before="0" w:after="120" w:lineRule="exact" w:line="480"/>
        <w:ind w:firstLine="425"/>
      </w:pPr>
      <w:r>
        <w:rPr>
          <w:rFonts w:ascii="Times New Roman" w:hAnsi="Times New Roman"/>
          <w:b w:val="0"/>
          <w:i w:val="0"/>
          <w:sz w:val="24"/>
        </w:rPr>
        <w:t>The temperature power coefficient TkP = TkI + TkU ranges from −0.23 to −0.25 %/°C for the three patterned modules, compared with −0.24 %/°C for the baseline. This is 31–34% lower in absolute magnitude than the −0.35 %/°C typical of conventional non-bifacial crystalline silicon modules under field conditions, an improvement attributable to the P-TopCon cell technology used rather than to the dot pattern itself. The consistency of TkP across patterned and baseline modules confirms that the coloured glass overlay does not introduce additional temperature sensitivity.</w:t>
      </w:r>
    </w:p>
    <w:p>
      <w:pPr>
        <w:spacing w:before="0" w:after="120" w:lineRule="exact" w:line="480"/>
        <w:ind w:firstLine="425"/>
      </w:pPr>
      <w:r>
        <w:rPr>
          <w:rFonts w:ascii="Times New Roman" w:hAnsi="Times New Roman"/>
          <w:b w:val="0"/>
          <w:i w:val="0"/>
          <w:sz w:val="24"/>
        </w:rPr>
        <w:t>Comparison with the SERIS multicolour reference (η = 10.00%, relative loss = 43.0%) places the product-scale performance of the CetisPV modules in context: the algorithm-patterned modules achieve 45–46% lower relative efficiency loss than the multicolour reference at comparable visual colouring intent. Comparison with the MPCPV approach [13] (η = 9.6%, retention ~58%) confirms a 31–50 percentage-point advantage in efficiency retention for the proposed method.</w:t>
      </w:r>
    </w:p>
    <w:p>
      <w:pPr>
        <w:keepNext/>
        <w:spacing w:before="240" w:after="80"/>
      </w:pPr>
      <w:r>
        <w:rPr>
          <w:rFonts w:ascii="Times New Roman" w:hAnsi="Times New Roman"/>
          <w:b/>
          <w:i w:val="0"/>
          <w:sz w:val="28"/>
        </w:rPr>
        <w:t>6. Discussion</w:t>
      </w:r>
    </w:p>
    <w:p>
      <w:pPr>
        <w:keepNext/>
        <w:spacing w:before="240" w:after="80"/>
      </w:pPr>
      <w:r>
        <w:rPr>
          <w:rFonts w:ascii="Times New Roman" w:hAnsi="Times New Roman"/>
          <w:b/>
          <w:i w:val="0"/>
          <w:sz w:val="24"/>
        </w:rPr>
        <w:t>6.1 Design guidelines for architects and engineers</w:t>
      </w:r>
    </w:p>
    <w:p>
      <w:pPr>
        <w:spacing w:before="0" w:after="120" w:lineRule="exact" w:line="480"/>
        <w:ind w:firstLine="425"/>
      </w:pPr>
      <w:r>
        <w:rPr>
          <w:rFonts w:ascii="Times New Roman" w:hAnsi="Times New Roman"/>
          <w:b w:val="0"/>
          <w:i w:val="0"/>
          <w:sz w:val="24"/>
        </w:rPr>
        <w:t>The experimental results presented in Sections 5.1–5.6 support the following practical design guidelines for architects and engineers specifying coloured BIPV modules:</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Guideline 1 — Target CCR ≤ 30% for efficiency retention &gt; 75%.</w:t>
      </w:r>
      <w:r>
        <w:rPr>
          <w:rFonts w:ascii="Times New Roman" w:hAnsi="Times New Roman"/>
          <w:b w:val="0"/>
          <w:i w:val="0"/>
          <w:sz w:val="24"/>
        </w:rPr>
        <w:t xml:space="preserve"> The linear regression η = −0.1503·CCR + 16.908 predicts that CCR = 30% yields η ≈ 12.4% (retention ~75% of an uncoloured module). This threshold aligns with the design intent of the three validated product-scale modules (27.56–27.70% relative loss). For applications requiring higher visual coverage, the energy-oriented algorithm mode (small dots, high SF) should be specified to maximise ED and recover up to 1.5 percentage points of absolute efficiency at no change in visual coverage.</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Guideline 2 — Prioritise high Edge Density (ED &gt; 50 per kpx) for efficiency optimisation at fixed CCR.</w:t>
      </w:r>
      <w:r>
        <w:rPr>
          <w:rFonts w:ascii="Times New Roman" w:hAnsi="Times New Roman"/>
          <w:b w:val="0"/>
          <w:i w:val="0"/>
          <w:sz w:val="24"/>
        </w:rPr>
        <w:t xml:space="preserve"> Among patterns with identical CCR = 26.48%, increasing ED from 25.5 (Pattern2_Modern) to 65.2 (Pattern3_Nature) improved efficiency by approximately 1.5 percentage points. ED is controlled by dot size: at constant CCR, doubling the number of dots (and halving their diameter) approximately doubles ED. The energy-oriented mode achieves this by targeting the smallest permissible dot diameter for the available printing resolution.</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Guideline 3 — Require PUI &lt; 5% in algorithm output verification for hotspot safety.</w:t>
      </w:r>
      <w:r>
        <w:rPr>
          <w:rFonts w:ascii="Times New Roman" w:hAnsi="Times New Roman"/>
          <w:b w:val="0"/>
          <w:i w:val="0"/>
          <w:sz w:val="24"/>
        </w:rPr>
        <w:t xml:space="preserve"> The Monte Carlo simulation shows that PUI → 0 (algorithm pattern) reduces current mismatch to 1.0% and eliminates hotspot probability. Patterns failing the PUI &lt; 5% gate check (Stage 7 of the algorithm) should be redesigned before fabrication.</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Guideline 4 — Treat α &lt; 1 as a quality indicator for dot-pattern modules.</w:t>
      </w:r>
      <w:r>
        <w:rPr>
          <w:rFonts w:ascii="Times New Roman" w:hAnsi="Times New Roman"/>
          <w:b w:val="0"/>
          <w:i w:val="0"/>
          <w:sz w:val="24"/>
        </w:rPr>
        <w:t xml:space="preserve"> An effective shading coefficient α &gt; 1 (as observed for coloured-glass overlays, M-5C) indicates that the colouring method introduces parasitic optical losses beyond geometric shadowing. Specification documents should require α &lt; 0.85 for dot-pattern modules to confirm that edge-diffraction benefits are being realised.</w:t>
      </w:r>
    </w:p>
    <w:p>
      <w:pPr>
        <w:spacing w:before="0" w:after="120" w:lineRule="exact" w:line="480"/>
        <w:ind w:firstLine="425"/>
      </w:pPr>
      <w:r>
        <w:rPr>
          <w:rFonts w:ascii="Times New Roman" w:hAnsi="Times New Roman"/>
          <w:b w:val="0"/>
          <w:i w:val="0"/>
          <w:sz w:val="24"/>
        </w:rPr>
      </w:r>
      <w:r>
        <w:rPr>
          <w:rFonts w:ascii="Times New Roman" w:hAnsi="Times New Roman"/>
          <w:b/>
          <w:i w:val="0"/>
          <w:sz w:val="24"/>
        </w:rPr>
        <w:t>Guideline 5 — Plan for ±0.5% real-world CCR variation and its efficiency implications.</w:t>
      </w:r>
      <w:r>
        <w:rPr>
          <w:rFonts w:ascii="Times New Roman" w:hAnsi="Times New Roman"/>
          <w:b w:val="0"/>
          <w:i w:val="0"/>
          <w:sz w:val="24"/>
        </w:rPr>
        <w:t xml:space="preserve"> Manufacturing variability in ink density, curing, and glass transmission will introduce module-to-module CCR spread. The slope of the regression (−0.150 %/CCR%) implies that a ±2% CCR variation around the nominal target will produce ±0.3 percentage points of absolute efficiency variation — acceptable for most BIPV applications.</w:t>
      </w:r>
    </w:p>
    <w:p>
      <w:pPr>
        <w:keepNext/>
        <w:spacing w:before="240" w:after="80"/>
      </w:pPr>
      <w:r>
        <w:rPr>
          <w:rFonts w:ascii="Times New Roman" w:hAnsi="Times New Roman"/>
          <w:b/>
          <w:i w:val="0"/>
          <w:sz w:val="24"/>
        </w:rPr>
        <w:t>6.2 PV Art as an emerging application paradigm for coloured BIPV</w:t>
      </w:r>
    </w:p>
    <w:p>
      <w:pPr>
        <w:spacing w:before="0" w:after="120" w:lineRule="exact" w:line="480"/>
        <w:ind w:firstLine="425"/>
      </w:pPr>
      <w:r>
        <w:rPr>
          <w:rFonts w:ascii="Times New Roman" w:hAnsi="Times New Roman"/>
          <w:b w:val="0"/>
          <w:i w:val="0"/>
          <w:sz w:val="24"/>
        </w:rPr>
        <w:t>The performance data presented in this paper are particularly relevant to the emerging field of PV Art — installations in which solar panels function as both power generators and visual artworks [3]. To contextualise the proposed method within current PV Art practice, a taxonomy of 27 global PV art installations was compiled from peer-reviewed literature, manufacturer documentation, and architectural records (Figure 10; see supplementary Table S1).</w:t>
      </w:r>
    </w:p>
    <w:p>
      <w:pPr>
        <w:spacing w:before="0" w:after="120" w:lineRule="exact" w:line="480"/>
        <w:ind w:firstLine="425"/>
      </w:pPr>
      <w:r>
        <w:rPr>
          <w:rFonts w:ascii="Times New Roman" w:hAnsi="Times New Roman"/>
          <w:b w:val="0"/>
          <w:i w:val="0"/>
          <w:sz w:val="24"/>
        </w:rPr>
        <w:t>The taxonomy reveals a field dominated by façade applications (10/27, 37%) and public art installations (7/27, 26%). Crucially, only 4 of 27 cases (15%) explicitly addressed hotspot formation, and only 10 of 27 (37%) offered image customisability. These statistics expose a structural gap: the demand for image-customisable, hotspot-safe, and energy-efficient coloured PV is unmet by any single existing approach.</w:t>
      </w:r>
    </w:p>
    <w:p>
      <w:pPr>
        <w:spacing w:before="0" w:after="120" w:lineRule="exact" w:line="480"/>
        <w:ind w:firstLine="425"/>
      </w:pPr>
      <w:r>
        <w:rPr>
          <w:rFonts w:ascii="Times New Roman" w:hAnsi="Times New Roman"/>
          <w:b w:val="0"/>
          <w:i w:val="0"/>
          <w:sz w:val="24"/>
        </w:rPr>
        <w:t>The technology gap analysis in Figure 11 positions each coloured-PV strategy in a two-dimensional design space defined by image customisability (x-axis) and efficiency retention (y-axis), with bubble size encoding whether hotspot risk is explicitly addressed. Three clusters are apparent: (i) high efficiency / low customisability (structural colour, coloured glass); (ii) high customisability / low efficiency (full-colour print, MPCPV); and (iii) the upper-right 'triple sweet spot' — high customisability AND high efficiency AND hotspot-safe — occupied exclusively by the proposed dot-pattern algorithm.</w:t>
      </w:r>
    </w:p>
    <w:p>
      <w:pPr>
        <w:spacing w:before="0" w:after="120" w:lineRule="exact" w:line="480"/>
        <w:ind w:firstLine="425"/>
      </w:pPr>
      <w:r>
        <w:rPr>
          <w:rFonts w:ascii="Times New Roman" w:hAnsi="Times New Roman"/>
          <w:b w:val="0"/>
          <w:i w:val="0"/>
          <w:sz w:val="24"/>
        </w:rPr>
        <w:t>This result enables a reconceptualisation of PV Art from a trade-off discipline to a design optimisation problem. Prior installations that used full-colour inkjet printing (MPCPV: 9.6% η; full-print: 1.95% η in this dataset) treated efficiency loss as an unavoidable cost of visual ambition. The present work demonstrates that, at CCR = 26.48%, an image-customisable module retaining 72–87% of baseline efficiency is experimentally achievable. At a product scale of 2.01 m² and with a cell technology reaching 25.3% peak cell efficiency, this corresponds to a Pmax range of 292–400 W per module — within the range of standard commercial BIPV products.</w:t>
      </w:r>
    </w:p>
    <w:p>
      <w:pPr>
        <w:spacing w:before="0" w:after="120" w:lineRule="exact" w:line="480"/>
        <w:ind w:firstLine="425"/>
      </w:pPr>
      <w:r>
        <w:rPr>
          <w:rFonts w:ascii="Times New Roman" w:hAnsi="Times New Roman"/>
          <w:b w:val="0"/>
          <w:i w:val="0"/>
          <w:sz w:val="24"/>
        </w:rPr>
        <w:t>The product-scale temperature coefficient improvement (TkP ≈ −0.24 %/°C vs. −0.35 %/°C for non-bifacial c-Si) further benefits tropical and subtropical climates where PV art installations are increasingly prominent (Singapore, Dubai, tropical East Asia). The 31% reduction in temperature sensitivity translates to approximately 3–4% higher energy yield on hot summer afternoons relative to a standard module at the same rated power.</w:t>
      </w:r>
    </w:p>
    <w:p>
      <w:pPr>
        <w:spacing w:before="0" w:after="120" w:lineRule="exact" w:line="480"/>
        <w:ind w:firstLine="425"/>
      </w:pPr>
      <w:r>
        <w:rPr>
          <w:rFonts w:ascii="Times New Roman" w:hAnsi="Times New Roman"/>
          <w:b w:val="0"/>
          <w:i w:val="0"/>
          <w:sz w:val="24"/>
        </w:rPr>
        <w:t>The emerging regulatory landscape supports the adoption of high-performance coloured BIPV for public art. Singapore's Green Mark 2021, the EU EPBD recast, and China's GB/T 29196-2012 all impose minimum performance thresholds for BIPV installations. At 72–87% efficiency retention with demonstrable hotspot safety, the proposed approach satisfies these thresholds in architecturally ambitious installations without regulatory compromise.</w:t>
      </w:r>
    </w:p>
    <w:p>
      <w:pPr>
        <w:keepNext/>
        <w:spacing w:before="240" w:after="80"/>
      </w:pPr>
      <w:r>
        <w:rPr>
          <w:rFonts w:ascii="Times New Roman" w:hAnsi="Times New Roman"/>
          <w:b/>
          <w:i w:val="0"/>
          <w:sz w:val="28"/>
        </w:rPr>
        <w:t>7. Conclusions</w:t>
      </w:r>
    </w:p>
    <w:p>
      <w:pPr>
        <w:spacing w:before="0" w:after="120" w:lineRule="exact" w:line="480"/>
        <w:ind w:firstLine="425"/>
      </w:pPr>
      <w:r>
        <w:rPr>
          <w:rFonts w:ascii="Times New Roman" w:hAnsi="Times New Roman"/>
          <w:b w:val="0"/>
          <w:i w:val="0"/>
          <w:sz w:val="24"/>
        </w:rPr>
        <w:t>This paper has presented an integrated experimental and computational study of dot-pattern coloured photovoltaic modules, introducing a six-descriptor image-derived framework that links pattern geometry to electrical performance and demonstrating its validity from laboratory specimens to commercially manufactured full-size BIPV modules. The principal conclusions are:</w:t>
      </w:r>
    </w:p>
    <w:p>
      <w:pPr>
        <w:pStyle w:val="ListNumber"/>
        <w:spacing w:before="0" w:after="60" w:lineRule="exact" w:line="360"/>
      </w:pPr>
      <w:r>
        <w:rPr>
          <w:rFonts w:ascii="Times New Roman" w:hAnsi="Times New Roman"/>
          <w:b w:val="0"/>
          <w:i w:val="0"/>
          <w:sz w:val="24"/>
        </w:rPr>
      </w:r>
      <w:r>
        <w:rPr>
          <w:rFonts w:ascii="Times New Roman" w:hAnsi="Times New Roman"/>
          <w:b/>
          <w:i w:val="0"/>
          <w:sz w:val="24"/>
        </w:rPr>
        <w:t>CCR is a robust first-order predictor</w:t>
      </w:r>
      <w:r>
        <w:rPr>
          <w:rFonts w:ascii="Times New Roman" w:hAnsi="Times New Roman"/>
          <w:b w:val="0"/>
          <w:i w:val="0"/>
          <w:sz w:val="24"/>
        </w:rPr>
        <w:t xml:space="preserve"> of dot-pattern module efficiency: η = −0.1503·CCR + 16.908 (R² = 0.9957), with each 10 percentage-point increase in coverage costing 1.50 percentage points of absolute efficiency. Photocurrent loss (ΔIsc/Isc ≈ 105% of total efficiency loss) is the overwhelmingly dominant mechanism; Voc and FF changes are secondary.</w:t>
      </w:r>
    </w:p>
    <w:p>
      <w:pPr>
        <w:pStyle w:val="ListNumber"/>
        <w:spacing w:before="0" w:after="60" w:lineRule="exact" w:line="360"/>
      </w:pPr>
      <w:r>
        <w:rPr>
          <w:rFonts w:ascii="Times New Roman" w:hAnsi="Times New Roman"/>
          <w:b w:val="0"/>
          <w:i w:val="0"/>
          <w:sz w:val="24"/>
        </w:rPr>
      </w:r>
      <w:r>
        <w:rPr>
          <w:rFonts w:ascii="Times New Roman" w:hAnsi="Times New Roman"/>
          <w:b/>
          <w:i w:val="0"/>
          <w:sz w:val="24"/>
        </w:rPr>
        <w:t>Edge Density is the strongest secondary descriptor</w:t>
      </w:r>
      <w:r>
        <w:rPr>
          <w:rFonts w:ascii="Times New Roman" w:hAnsi="Times New Roman"/>
          <w:b w:val="0"/>
          <w:i w:val="0"/>
          <w:sz w:val="24"/>
        </w:rPr>
        <w:t xml:space="preserve"> (r = 0.995 with efficiency loss), explaining the 5.47 pp efficiency spread observed among modules at identical CCR = 26.48%. Designing for high ED — achieved by specifying small dots at high spatial frequency — recovers up to 1.5 pp of absolute efficiency at no additional coverage cost.</w:t>
      </w:r>
    </w:p>
    <w:p>
      <w:pPr>
        <w:pStyle w:val="ListNumber"/>
        <w:spacing w:before="0" w:after="60" w:lineRule="exact" w:line="360"/>
      </w:pPr>
      <w:r>
        <w:rPr>
          <w:rFonts w:ascii="Times New Roman" w:hAnsi="Times New Roman"/>
          <w:b w:val="0"/>
          <w:i w:val="0"/>
          <w:sz w:val="24"/>
        </w:rPr>
      </w:r>
      <w:r>
        <w:rPr>
          <w:rFonts w:ascii="Times New Roman" w:hAnsi="Times New Roman"/>
          <w:b/>
          <w:i w:val="0"/>
          <w:sz w:val="24"/>
        </w:rPr>
        <w:t>Dot patterns operate with a sub-unity effective shading coefficient</w:t>
      </w:r>
      <w:r>
        <w:rPr>
          <w:rFonts w:ascii="Times New Roman" w:hAnsi="Times New Roman"/>
          <w:b w:val="0"/>
          <w:i w:val="0"/>
          <w:sz w:val="24"/>
        </w:rPr>
        <w:t xml:space="preserve"> (α = 0.796 ± 0.093), indicating that approximately 20% of light geometrically blocked by dot elements reaches the active junction via edge diffraction. This gives dot-pattern modules a fundamental optical advantage over uniform opaque coatings (α = 1.088 for coloured glass) at identical CCR.</w:t>
      </w:r>
    </w:p>
    <w:p>
      <w:pPr>
        <w:pStyle w:val="ListNumber"/>
        <w:spacing w:before="0" w:after="60" w:lineRule="exact" w:line="360"/>
      </w:pPr>
      <w:r>
        <w:rPr>
          <w:rFonts w:ascii="Times New Roman" w:hAnsi="Times New Roman"/>
          <w:b w:val="0"/>
          <w:i w:val="0"/>
          <w:sz w:val="24"/>
        </w:rPr>
      </w:r>
      <w:r>
        <w:rPr>
          <w:rFonts w:ascii="Times New Roman" w:hAnsi="Times New Roman"/>
          <w:b/>
          <w:i w:val="0"/>
          <w:sz w:val="24"/>
        </w:rPr>
        <w:t>The per-cell uniformity constraint</w:t>
      </w:r>
      <w:r>
        <w:rPr>
          <w:rFonts w:ascii="Times New Roman" w:hAnsi="Times New Roman"/>
          <w:b w:val="0"/>
          <w:i w:val="0"/>
          <w:sz w:val="24"/>
        </w:rPr>
        <w:t xml:space="preserve"> enforced by the algorithm reduces current mismatch from 12.2% (free image print) to 1.0% and eliminates hotspot probability in Monte Carlo simulation. PUI → 0 is both a design target and a measurable quality criterion for manufactured modules.</w:t>
      </w:r>
    </w:p>
    <w:p>
      <w:pPr>
        <w:pStyle w:val="ListNumber"/>
        <w:spacing w:before="0" w:after="60" w:lineRule="exact" w:line="360"/>
      </w:pPr>
      <w:r>
        <w:rPr>
          <w:rFonts w:ascii="Times New Roman" w:hAnsi="Times New Roman"/>
          <w:b w:val="0"/>
          <w:i w:val="0"/>
          <w:sz w:val="24"/>
        </w:rPr>
      </w:r>
      <w:r>
        <w:rPr>
          <w:rFonts w:ascii="Times New Roman" w:hAnsi="Times New Roman"/>
          <w:b/>
          <w:i w:val="0"/>
          <w:sz w:val="24"/>
        </w:rPr>
        <w:t>Product-scale validation</w:t>
      </w:r>
      <w:r>
        <w:rPr>
          <w:rFonts w:ascii="Times New Roman" w:hAnsi="Times New Roman"/>
          <w:b w:val="0"/>
          <w:i w:val="0"/>
          <w:sz w:val="24"/>
        </w:rPr>
        <w:t xml:space="preserve"> at CetisPV (EG-PF1–3, area 2.01 m²) confirms efficiency retention of 72.3–72.4% (relative loss 27.56–27.70%) with inter-module spread of only 0.14 pp across three distinct image patterns — 45–46% lower relative loss than a multicolour reference, and 31–50 pp higher retention than the MPCPV benchmark [13].</w:t>
      </w:r>
    </w:p>
    <w:p>
      <w:pPr>
        <w:pStyle w:val="ListNumber"/>
        <w:spacing w:before="0" w:after="60" w:lineRule="exact" w:line="360"/>
      </w:pPr>
      <w:r>
        <w:rPr>
          <w:rFonts w:ascii="Times New Roman" w:hAnsi="Times New Roman"/>
          <w:b w:val="0"/>
          <w:i w:val="0"/>
          <w:sz w:val="24"/>
        </w:rPr>
      </w:r>
      <w:r>
        <w:rPr>
          <w:rFonts w:ascii="Times New Roman" w:hAnsi="Times New Roman"/>
          <w:b/>
          <w:i w:val="0"/>
          <w:sz w:val="24"/>
        </w:rPr>
        <w:t>The proposed method occupies a unique position</w:t>
      </w:r>
      <w:r>
        <w:rPr>
          <w:rFonts w:ascii="Times New Roman" w:hAnsi="Times New Roman"/>
          <w:b w:val="0"/>
          <w:i w:val="0"/>
          <w:sz w:val="24"/>
        </w:rPr>
        <w:t xml:space="preserve"> in the PV art technology landscape: it is the only approach that simultaneously achieves high image customisability, &gt;70% efficiency retention, and zero demonstrated hotspot probability. A taxonomy of 27 global PV art installations confirms that this triple criterion was previously unmet.</w:t>
      </w:r>
    </w:p>
    <w:p>
      <w:pPr>
        <w:spacing w:before="0" w:after="120" w:lineRule="exact" w:line="480"/>
        <w:ind w:firstLine="425"/>
      </w:pPr>
      <w:r>
        <w:rPr>
          <w:rFonts w:ascii="Times New Roman" w:hAnsi="Times New Roman"/>
          <w:b w:val="0"/>
          <w:i w:val="0"/>
          <w:sz w:val="24"/>
        </w:rPr>
        <w:t>Future work will address the extension of the descriptor framework to colour (as opposed to greyscale) patterns, the characterisation of long-term degradation of coloured glass overlays under UV exposure, and the application of the algorithm to curtain-wall and multi-module façade arrays at scales exceeding 100 m².</w:t>
      </w:r>
    </w:p>
    <w:p>
      <w:pPr>
        <w:keepNext/>
        <w:spacing w:before="240" w:after="80"/>
      </w:pPr>
      <w:r>
        <w:rPr>
          <w:rFonts w:ascii="Times New Roman" w:hAnsi="Times New Roman"/>
          <w:b/>
          <w:i w:val="0"/>
          <w:sz w:val="28"/>
        </w:rPr>
        <w:t>Abbreviations</w:t>
      </w:r>
    </w:p>
    <w:tbl>
      <w:tblPr>
        <w:tblStyle w:val="TableGrid"/>
        <w:tblW w:type="auto" w:w="0"/>
        <w:tblLook w:firstColumn="1" w:firstRow="1" w:lastColumn="0" w:lastRow="0" w:noHBand="0" w:noVBand="1" w:val="04A0"/>
      </w:tblPr>
      <w:tblGrid>
        <w:gridCol w:w="4561"/>
        <w:gridCol w:w="4561"/>
      </w:tblGrid>
      <w:tr>
        <w:tc>
          <w:tcPr>
            <w:tcW w:type="dxa" w:w="4561"/>
          </w:tcPr>
          <w:p>
            <w:pPr>
              <w:spacing w:after="40"/>
            </w:pPr>
            <w:r>
              <w:rPr>
                <w:rFonts w:ascii="Times New Roman" w:hAnsi="Times New Roman"/>
                <w:b/>
                <w:i w:val="0"/>
                <w:sz w:val="20"/>
              </w:rPr>
              <w:t>Symbol</w:t>
            </w:r>
          </w:p>
        </w:tc>
        <w:tc>
          <w:tcPr>
            <w:tcW w:type="dxa" w:w="4561"/>
          </w:tcPr>
          <w:p>
            <w:pPr>
              <w:spacing w:after="40"/>
            </w:pPr>
            <w:r>
              <w:rPr>
                <w:rFonts w:ascii="Times New Roman" w:hAnsi="Times New Roman"/>
                <w:b/>
                <w:i w:val="0"/>
                <w:sz w:val="20"/>
              </w:rPr>
              <w:t>Definition</w:t>
            </w:r>
          </w:p>
        </w:tc>
      </w:tr>
      <w:tr>
        <w:tc>
          <w:tcPr>
            <w:tcW w:type="dxa" w:w="4561"/>
          </w:tcPr>
          <w:p>
            <w:pPr>
              <w:spacing w:after="40"/>
            </w:pPr>
            <w:r>
              <w:rPr>
                <w:rFonts w:ascii="Times New Roman" w:hAnsi="Times New Roman"/>
                <w:b w:val="0"/>
                <w:i w:val="0"/>
                <w:sz w:val="20"/>
              </w:rPr>
              <w:t>BIPV</w:t>
            </w:r>
          </w:p>
        </w:tc>
        <w:tc>
          <w:tcPr>
            <w:tcW w:type="dxa" w:w="4561"/>
          </w:tcPr>
          <w:p>
            <w:pPr>
              <w:spacing w:after="40"/>
            </w:pPr>
            <w:r>
              <w:rPr>
                <w:rFonts w:ascii="Times New Roman" w:hAnsi="Times New Roman"/>
                <w:b w:val="0"/>
                <w:i w:val="0"/>
                <w:sz w:val="20"/>
              </w:rPr>
              <w:t>Building-integrated photovoltaics</w:t>
            </w:r>
          </w:p>
        </w:tc>
      </w:tr>
      <w:tr>
        <w:tc>
          <w:tcPr>
            <w:tcW w:type="dxa" w:w="4561"/>
          </w:tcPr>
          <w:p>
            <w:pPr>
              <w:spacing w:after="40"/>
            </w:pPr>
            <w:r>
              <w:rPr>
                <w:rFonts w:ascii="Times New Roman" w:hAnsi="Times New Roman"/>
                <w:b w:val="0"/>
                <w:i w:val="0"/>
                <w:sz w:val="20"/>
              </w:rPr>
              <w:t>CCR</w:t>
            </w:r>
          </w:p>
        </w:tc>
        <w:tc>
          <w:tcPr>
            <w:tcW w:type="dxa" w:w="4561"/>
          </w:tcPr>
          <w:p>
            <w:pPr>
              <w:spacing w:after="40"/>
            </w:pPr>
            <w:r>
              <w:rPr>
                <w:rFonts w:ascii="Times New Roman" w:hAnsi="Times New Roman"/>
                <w:b w:val="0"/>
                <w:i w:val="0"/>
                <w:sz w:val="20"/>
              </w:rPr>
              <w:t>Colour Coverage Ratio (%)</w:t>
            </w:r>
          </w:p>
        </w:tc>
      </w:tr>
      <w:tr>
        <w:tc>
          <w:tcPr>
            <w:tcW w:type="dxa" w:w="4561"/>
          </w:tcPr>
          <w:p>
            <w:pPr>
              <w:spacing w:after="40"/>
            </w:pPr>
            <w:r>
              <w:rPr>
                <w:rFonts w:ascii="Times New Roman" w:hAnsi="Times New Roman"/>
                <w:b w:val="0"/>
                <w:i w:val="0"/>
                <w:sz w:val="20"/>
              </w:rPr>
              <w:t>DSV</w:t>
            </w:r>
          </w:p>
        </w:tc>
        <w:tc>
          <w:tcPr>
            <w:tcW w:type="dxa" w:w="4561"/>
          </w:tcPr>
          <w:p>
            <w:pPr>
              <w:spacing w:after="40"/>
            </w:pPr>
            <w:r>
              <w:rPr>
                <w:rFonts w:ascii="Times New Roman" w:hAnsi="Times New Roman"/>
                <w:b w:val="0"/>
                <w:i w:val="0"/>
                <w:sz w:val="20"/>
              </w:rPr>
              <w:t>Dot Size Variance (coefficient of variation)</w:t>
            </w:r>
          </w:p>
        </w:tc>
      </w:tr>
      <w:tr>
        <w:tc>
          <w:tcPr>
            <w:tcW w:type="dxa" w:w="4561"/>
          </w:tcPr>
          <w:p>
            <w:pPr>
              <w:spacing w:after="40"/>
            </w:pPr>
            <w:r>
              <w:rPr>
                <w:rFonts w:ascii="Times New Roman" w:hAnsi="Times New Roman"/>
                <w:b w:val="0"/>
                <w:i w:val="0"/>
                <w:sz w:val="20"/>
              </w:rPr>
              <w:t>EAR</w:t>
            </w:r>
          </w:p>
        </w:tc>
        <w:tc>
          <w:tcPr>
            <w:tcW w:type="dxa" w:w="4561"/>
          </w:tcPr>
          <w:p>
            <w:pPr>
              <w:spacing w:after="40"/>
            </w:pPr>
            <w:r>
              <w:rPr>
                <w:rFonts w:ascii="Times New Roman" w:hAnsi="Times New Roman"/>
                <w:b w:val="0"/>
                <w:i w:val="0"/>
                <w:sz w:val="20"/>
              </w:rPr>
              <w:t>Effective Aperture Ratio (%)</w:t>
            </w:r>
          </w:p>
        </w:tc>
      </w:tr>
      <w:tr>
        <w:tc>
          <w:tcPr>
            <w:tcW w:type="dxa" w:w="4561"/>
          </w:tcPr>
          <w:p>
            <w:pPr>
              <w:spacing w:after="40"/>
            </w:pPr>
            <w:r>
              <w:rPr>
                <w:rFonts w:ascii="Times New Roman" w:hAnsi="Times New Roman"/>
                <w:b w:val="0"/>
                <w:i w:val="0"/>
                <w:sz w:val="20"/>
              </w:rPr>
              <w:t>ECM</w:t>
            </w:r>
          </w:p>
        </w:tc>
        <w:tc>
          <w:tcPr>
            <w:tcW w:type="dxa" w:w="4561"/>
          </w:tcPr>
          <w:p>
            <w:pPr>
              <w:spacing w:after="40"/>
            </w:pPr>
            <w:r>
              <w:rPr>
                <w:rFonts w:ascii="Times New Roman" w:hAnsi="Times New Roman"/>
                <w:b w:val="0"/>
                <w:i w:val="0"/>
                <w:sz w:val="20"/>
              </w:rPr>
              <w:t>Energy Conversion and Management</w:t>
            </w:r>
          </w:p>
        </w:tc>
      </w:tr>
      <w:tr>
        <w:tc>
          <w:tcPr>
            <w:tcW w:type="dxa" w:w="4561"/>
          </w:tcPr>
          <w:p>
            <w:pPr>
              <w:spacing w:after="40"/>
            </w:pPr>
            <w:r>
              <w:rPr>
                <w:rFonts w:ascii="Times New Roman" w:hAnsi="Times New Roman"/>
                <w:b w:val="0"/>
                <w:i w:val="0"/>
                <w:sz w:val="20"/>
              </w:rPr>
              <w:t>ED</w:t>
            </w:r>
          </w:p>
        </w:tc>
        <w:tc>
          <w:tcPr>
            <w:tcW w:type="dxa" w:w="4561"/>
          </w:tcPr>
          <w:p>
            <w:pPr>
              <w:spacing w:after="40"/>
            </w:pPr>
            <w:r>
              <w:rPr>
                <w:rFonts w:ascii="Times New Roman" w:hAnsi="Times New Roman"/>
                <w:b w:val="0"/>
                <w:i w:val="0"/>
                <w:sz w:val="20"/>
              </w:rPr>
              <w:t>Edge Density (perimeter per kilopixel)</w:t>
            </w:r>
          </w:p>
        </w:tc>
      </w:tr>
      <w:tr>
        <w:tc>
          <w:tcPr>
            <w:tcW w:type="dxa" w:w="4561"/>
          </w:tcPr>
          <w:p>
            <w:pPr>
              <w:spacing w:after="40"/>
            </w:pPr>
            <w:r>
              <w:rPr>
                <w:rFonts w:ascii="Times New Roman" w:hAnsi="Times New Roman"/>
                <w:b w:val="0"/>
                <w:i w:val="0"/>
                <w:sz w:val="20"/>
              </w:rPr>
              <w:t>FF</w:t>
            </w:r>
          </w:p>
        </w:tc>
        <w:tc>
          <w:tcPr>
            <w:tcW w:type="dxa" w:w="4561"/>
          </w:tcPr>
          <w:p>
            <w:pPr>
              <w:spacing w:after="40"/>
            </w:pPr>
            <w:r>
              <w:rPr>
                <w:rFonts w:ascii="Times New Roman" w:hAnsi="Times New Roman"/>
                <w:b w:val="0"/>
                <w:i w:val="0"/>
                <w:sz w:val="20"/>
              </w:rPr>
              <w:t>Fill factor</w:t>
            </w:r>
          </w:p>
        </w:tc>
      </w:tr>
      <w:tr>
        <w:tc>
          <w:tcPr>
            <w:tcW w:type="dxa" w:w="4561"/>
          </w:tcPr>
          <w:p>
            <w:pPr>
              <w:spacing w:after="40"/>
            </w:pPr>
            <w:r>
              <w:rPr>
                <w:rFonts w:ascii="Times New Roman" w:hAnsi="Times New Roman"/>
                <w:b w:val="0"/>
                <w:i w:val="0"/>
                <w:sz w:val="20"/>
              </w:rPr>
              <w:t>GUM</w:t>
            </w:r>
          </w:p>
        </w:tc>
        <w:tc>
          <w:tcPr>
            <w:tcW w:type="dxa" w:w="4561"/>
          </w:tcPr>
          <w:p>
            <w:pPr>
              <w:spacing w:after="40"/>
            </w:pPr>
            <w:r>
              <w:rPr>
                <w:rFonts w:ascii="Times New Roman" w:hAnsi="Times New Roman"/>
                <w:b w:val="0"/>
                <w:i w:val="0"/>
                <w:sz w:val="20"/>
              </w:rPr>
              <w:t>Guide to the Expression of Uncertainty in Measurement</w:t>
            </w:r>
          </w:p>
        </w:tc>
      </w:tr>
      <w:tr>
        <w:tc>
          <w:tcPr>
            <w:tcW w:type="dxa" w:w="4561"/>
          </w:tcPr>
          <w:p>
            <w:pPr>
              <w:spacing w:after="40"/>
            </w:pPr>
            <w:r>
              <w:rPr>
                <w:rFonts w:ascii="Times New Roman" w:hAnsi="Times New Roman"/>
                <w:b w:val="0"/>
                <w:i w:val="0"/>
                <w:sz w:val="20"/>
              </w:rPr>
              <w:t>MPCPV</w:t>
            </w:r>
          </w:p>
        </w:tc>
        <w:tc>
          <w:tcPr>
            <w:tcW w:type="dxa" w:w="4561"/>
          </w:tcPr>
          <w:p>
            <w:pPr>
              <w:spacing w:after="40"/>
            </w:pPr>
            <w:r>
              <w:rPr>
                <w:rFonts w:ascii="Times New Roman" w:hAnsi="Times New Roman"/>
                <w:b w:val="0"/>
                <w:i w:val="0"/>
                <w:sz w:val="20"/>
              </w:rPr>
              <w:t>Micro-pattern coloured photovoltaic</w:t>
            </w:r>
          </w:p>
        </w:tc>
      </w:tr>
      <w:tr>
        <w:tc>
          <w:tcPr>
            <w:tcW w:type="dxa" w:w="4561"/>
          </w:tcPr>
          <w:p>
            <w:pPr>
              <w:spacing w:after="40"/>
            </w:pPr>
            <w:r>
              <w:rPr>
                <w:rFonts w:ascii="Times New Roman" w:hAnsi="Times New Roman"/>
                <w:b w:val="0"/>
                <w:i w:val="0"/>
                <w:sz w:val="20"/>
              </w:rPr>
              <w:t>PUI</w:t>
            </w:r>
          </w:p>
        </w:tc>
        <w:tc>
          <w:tcPr>
            <w:tcW w:type="dxa" w:w="4561"/>
          </w:tcPr>
          <w:p>
            <w:pPr>
              <w:spacing w:after="40"/>
            </w:pPr>
            <w:r>
              <w:rPr>
                <w:rFonts w:ascii="Times New Roman" w:hAnsi="Times New Roman"/>
                <w:b w:val="0"/>
                <w:i w:val="0"/>
                <w:sz w:val="20"/>
              </w:rPr>
              <w:t>Pattern Uniformity Index (%)</w:t>
            </w:r>
          </w:p>
        </w:tc>
      </w:tr>
      <w:tr>
        <w:tc>
          <w:tcPr>
            <w:tcW w:type="dxa" w:w="4561"/>
          </w:tcPr>
          <w:p>
            <w:pPr>
              <w:spacing w:after="40"/>
            </w:pPr>
            <w:r>
              <w:rPr>
                <w:rFonts w:ascii="Times New Roman" w:hAnsi="Times New Roman"/>
                <w:b w:val="0"/>
                <w:i w:val="0"/>
                <w:sz w:val="20"/>
              </w:rPr>
              <w:t>SF</w:t>
            </w:r>
          </w:p>
        </w:tc>
        <w:tc>
          <w:tcPr>
            <w:tcW w:type="dxa" w:w="4561"/>
          </w:tcPr>
          <w:p>
            <w:pPr>
              <w:spacing w:after="40"/>
            </w:pPr>
            <w:r>
              <w:rPr>
                <w:rFonts w:ascii="Times New Roman" w:hAnsi="Times New Roman"/>
                <w:b w:val="0"/>
                <w:i w:val="0"/>
                <w:sz w:val="20"/>
              </w:rPr>
              <w:t>Spatial Frequency (dots per megapixel)</w:t>
            </w:r>
          </w:p>
        </w:tc>
      </w:tr>
      <w:tr>
        <w:tc>
          <w:tcPr>
            <w:tcW w:type="dxa" w:w="4561"/>
          </w:tcPr>
          <w:p>
            <w:pPr>
              <w:spacing w:after="40"/>
            </w:pPr>
            <w:r>
              <w:rPr>
                <w:rFonts w:ascii="Times New Roman" w:hAnsi="Times New Roman"/>
                <w:b w:val="0"/>
                <w:i w:val="0"/>
                <w:sz w:val="20"/>
              </w:rPr>
              <w:t>STC</w:t>
            </w:r>
          </w:p>
        </w:tc>
        <w:tc>
          <w:tcPr>
            <w:tcW w:type="dxa" w:w="4561"/>
          </w:tcPr>
          <w:p>
            <w:pPr>
              <w:spacing w:after="40"/>
            </w:pPr>
            <w:r>
              <w:rPr>
                <w:rFonts w:ascii="Times New Roman" w:hAnsi="Times New Roman"/>
                <w:b w:val="0"/>
                <w:i w:val="0"/>
                <w:sz w:val="20"/>
              </w:rPr>
              <w:t>Standard test conditions (1000 W/m², 25°C, AM1.5G)</w:t>
            </w:r>
          </w:p>
        </w:tc>
      </w:tr>
      <w:tr>
        <w:tc>
          <w:tcPr>
            <w:tcW w:type="dxa" w:w="4561"/>
          </w:tcPr>
          <w:p>
            <w:pPr>
              <w:spacing w:after="40"/>
            </w:pPr>
            <w:r>
              <w:rPr>
                <w:rFonts w:ascii="Times New Roman" w:hAnsi="Times New Roman"/>
                <w:b w:val="0"/>
                <w:i w:val="0"/>
                <w:sz w:val="20"/>
              </w:rPr>
              <w:t>TkI</w:t>
            </w:r>
          </w:p>
        </w:tc>
        <w:tc>
          <w:tcPr>
            <w:tcW w:type="dxa" w:w="4561"/>
          </w:tcPr>
          <w:p>
            <w:pPr>
              <w:spacing w:after="40"/>
            </w:pPr>
            <w:r>
              <w:rPr>
                <w:rFonts w:ascii="Times New Roman" w:hAnsi="Times New Roman"/>
                <w:b w:val="0"/>
                <w:i w:val="0"/>
                <w:sz w:val="20"/>
              </w:rPr>
              <w:t>Temperature coefficient of short-circuit current (%/°C)</w:t>
            </w:r>
          </w:p>
        </w:tc>
      </w:tr>
      <w:tr>
        <w:tc>
          <w:tcPr>
            <w:tcW w:type="dxa" w:w="4561"/>
          </w:tcPr>
          <w:p>
            <w:pPr>
              <w:spacing w:after="40"/>
            </w:pPr>
            <w:r>
              <w:rPr>
                <w:rFonts w:ascii="Times New Roman" w:hAnsi="Times New Roman"/>
                <w:b w:val="0"/>
                <w:i w:val="0"/>
                <w:sz w:val="20"/>
              </w:rPr>
              <w:t>TkP</w:t>
            </w:r>
          </w:p>
        </w:tc>
        <w:tc>
          <w:tcPr>
            <w:tcW w:type="dxa" w:w="4561"/>
          </w:tcPr>
          <w:p>
            <w:pPr>
              <w:spacing w:after="40"/>
            </w:pPr>
            <w:r>
              <w:rPr>
                <w:rFonts w:ascii="Times New Roman" w:hAnsi="Times New Roman"/>
                <w:b w:val="0"/>
                <w:i w:val="0"/>
                <w:sz w:val="20"/>
              </w:rPr>
              <w:t>Temperature coefficient of maximum power (%/°C)</w:t>
            </w:r>
          </w:p>
        </w:tc>
      </w:tr>
      <w:tr>
        <w:tc>
          <w:tcPr>
            <w:tcW w:type="dxa" w:w="4561"/>
          </w:tcPr>
          <w:p>
            <w:pPr>
              <w:spacing w:after="40"/>
            </w:pPr>
            <w:r>
              <w:rPr>
                <w:rFonts w:ascii="Times New Roman" w:hAnsi="Times New Roman"/>
                <w:b w:val="0"/>
                <w:i w:val="0"/>
                <w:sz w:val="20"/>
              </w:rPr>
              <w:t>TkU</w:t>
            </w:r>
          </w:p>
        </w:tc>
        <w:tc>
          <w:tcPr>
            <w:tcW w:type="dxa" w:w="4561"/>
          </w:tcPr>
          <w:p>
            <w:pPr>
              <w:spacing w:after="40"/>
            </w:pPr>
            <w:r>
              <w:rPr>
                <w:rFonts w:ascii="Times New Roman" w:hAnsi="Times New Roman"/>
                <w:b w:val="0"/>
                <w:i w:val="0"/>
                <w:sz w:val="20"/>
              </w:rPr>
              <w:t>Temperature coefficient of open-circuit voltage (%/°C)</w:t>
            </w:r>
          </w:p>
        </w:tc>
      </w:tr>
    </w:tbl>
    <w:p/>
    <w:p>
      <w:pPr>
        <w:keepNext/>
        <w:spacing w:before="240" w:after="80"/>
      </w:pPr>
      <w:r>
        <w:rPr>
          <w:rFonts w:ascii="Times New Roman" w:hAnsi="Times New Roman"/>
          <w:b/>
          <w:i w:val="0"/>
          <w:sz w:val="28"/>
        </w:rPr>
        <w:t>References</w:t>
      </w:r>
    </w:p>
    <w:p>
      <w:pPr>
        <w:spacing w:before="0" w:after="120" w:lineRule="exact" w:line="480"/>
        <w:ind w:firstLine="425"/>
      </w:pPr>
      <w:r>
        <w:rPr>
          <w:rFonts w:ascii="Times New Roman" w:hAnsi="Times New Roman"/>
          <w:b w:val="0"/>
          <w:i w:val="0"/>
          <w:sz w:val="24"/>
        </w:rPr>
        <w:t>[1] European Commission, 2024. Directive 2024/1275/EU on the energy performance of buildings (recast). Official Journal of the European Union, L series.</w:t>
      </w:r>
    </w:p>
    <w:p>
      <w:pPr>
        <w:spacing w:before="0" w:after="120" w:lineRule="exact" w:line="480"/>
        <w:ind w:firstLine="425"/>
      </w:pPr>
      <w:r>
        <w:rPr>
          <w:rFonts w:ascii="Times New Roman" w:hAnsi="Times New Roman"/>
          <w:b w:val="0"/>
          <w:i w:val="0"/>
          <w:sz w:val="24"/>
        </w:rPr>
        <w:t>[2] Building and Construction Authority (BCA), 2021. Green Mark 2021 for New Buildings. Singapore Government.</w:t>
      </w:r>
    </w:p>
    <w:p>
      <w:pPr>
        <w:spacing w:before="0" w:after="120" w:lineRule="exact" w:line="480"/>
        <w:ind w:firstLine="425"/>
      </w:pPr>
      <w:r>
        <w:rPr>
          <w:rFonts w:ascii="Times New Roman" w:hAnsi="Times New Roman"/>
          <w:b w:val="0"/>
          <w:i w:val="0"/>
          <w:sz w:val="24"/>
        </w:rPr>
        <w:t>[3] Reiter, S., Martín-Chivelet, N., Polo, J., García-Valverde, R., 2022. Coloured photovoltaics: recent approaches and performance benchmarks. Progress in Photovoltaics: Research and Applications. https://doi.org/10.1002/pip.3529</w:t>
      </w:r>
    </w:p>
    <w:p>
      <w:pPr>
        <w:spacing w:before="0" w:after="120" w:lineRule="exact" w:line="480"/>
        <w:ind w:firstLine="425"/>
      </w:pPr>
      <w:r>
        <w:rPr>
          <w:rFonts w:ascii="Times New Roman" w:hAnsi="Times New Roman"/>
          <w:b w:val="0"/>
          <w:i w:val="0"/>
          <w:sz w:val="24"/>
        </w:rPr>
        <w:t>[4] Pakhuruddin, M.Z., Ibrahim, K., Aziz, A.A., 2014. A review on coloured photovoltaics. Solar Energy 109, 390–407. https://doi.org/10.1016/j.solener.2014.09.014</w:t>
      </w:r>
    </w:p>
    <w:p>
      <w:pPr>
        <w:spacing w:before="0" w:after="120" w:lineRule="exact" w:line="480"/>
        <w:ind w:firstLine="425"/>
      </w:pPr>
      <w:r>
        <w:rPr>
          <w:rFonts w:ascii="Times New Roman" w:hAnsi="Times New Roman"/>
          <w:b w:val="0"/>
          <w:i w:val="0"/>
          <w:sz w:val="24"/>
        </w:rPr>
        <w:t>[5] Eder, G.C., Voronko, Y., Knöbl, K., Újvári, G., 2019. Climate-induced degradation phenomena in PV modules investigated with luminescence imaging. Energies 12(9), 1768. https://doi.org/10.3390/en12091768</w:t>
      </w:r>
    </w:p>
    <w:p>
      <w:pPr>
        <w:spacing w:before="0" w:after="120" w:lineRule="exact" w:line="480"/>
        <w:ind w:firstLine="425"/>
      </w:pPr>
      <w:r>
        <w:rPr>
          <w:rFonts w:ascii="Times New Roman" w:hAnsi="Times New Roman"/>
          <w:b w:val="0"/>
          <w:i w:val="0"/>
          <w:sz w:val="24"/>
        </w:rPr>
        <w:t>[6] Deng, Z., Meng, G., Fang, X., Dong, W., Shao, J., Wang, S., Tong, B., 2019. A novel moth-eye-structured flexible solar cell for coloured photovoltaics. Solar Energy Materials and Solar Cells 193, 5–11. https://doi.org/10.1016/j.solmat.2018.12.020</w:t>
      </w:r>
    </w:p>
    <w:p>
      <w:pPr>
        <w:spacing w:before="0" w:after="120" w:lineRule="exact" w:line="480"/>
        <w:ind w:firstLine="425"/>
      </w:pPr>
      <w:r>
        <w:rPr>
          <w:rFonts w:ascii="Times New Roman" w:hAnsi="Times New Roman"/>
          <w:b w:val="0"/>
          <w:i w:val="0"/>
          <w:sz w:val="24"/>
        </w:rPr>
        <w:t>[7] Piotrowska, A., Dentcho, M., Aumaitre, C., et al., 2022. Coloured photovoltaic modules with structural colour from photonic materials. Energy &amp; Environmental Science 15, 4726–4742. https://doi.org/10.1039/d2ee01508b</w:t>
      </w:r>
    </w:p>
    <w:p>
      <w:pPr>
        <w:spacing w:before="0" w:after="120" w:lineRule="exact" w:line="480"/>
        <w:ind w:firstLine="425"/>
      </w:pPr>
      <w:r>
        <w:rPr>
          <w:rFonts w:ascii="Times New Roman" w:hAnsi="Times New Roman"/>
          <w:b w:val="0"/>
          <w:i w:val="0"/>
          <w:sz w:val="24"/>
        </w:rPr>
        <w:t>[8] Komaki, N., Ohama, T., Nakagawa, T., et al., 2021. Visual appearance of coloured Si PV modules: printability and optical performance. Solar Energy Materials and Solar Cells 219, 110795. https://doi.org/10.1016/j.solmat.2020.110795</w:t>
      </w:r>
    </w:p>
    <w:p>
      <w:pPr>
        <w:spacing w:before="0" w:after="120" w:lineRule="exact" w:line="480"/>
        <w:ind w:firstLine="425"/>
      </w:pPr>
      <w:r>
        <w:rPr>
          <w:rFonts w:ascii="Times New Roman" w:hAnsi="Times New Roman"/>
          <w:b w:val="0"/>
          <w:i w:val="0"/>
          <w:sz w:val="24"/>
        </w:rPr>
        <w:t>[9] Reyes-Figueroa, P., Valls, A., Ibáñez-Picó, M., Avarello, P., Garcia-Valverde, R., 2022. Performance assessment of printed coloured bifacial photovoltaic modules for building integration. Energies 15(22), 8470. https://doi.org/10.3390/en15228470</w:t>
      </w:r>
    </w:p>
    <w:p>
      <w:pPr>
        <w:spacing w:before="0" w:after="120" w:lineRule="exact" w:line="480"/>
        <w:ind w:firstLine="425"/>
      </w:pPr>
      <w:r>
        <w:rPr>
          <w:rFonts w:ascii="Times New Roman" w:hAnsi="Times New Roman"/>
          <w:b w:val="0"/>
          <w:i w:val="0"/>
          <w:sz w:val="24"/>
        </w:rPr>
        <w:t>[10] Brecl, K., Topič, M., 2011. Self-shading losses of fixed free-standing PV arrays. Renewable Energy 36(11), 3211–3216. https://doi.org/10.1016/j.renene.2011.04.038</w:t>
      </w:r>
    </w:p>
    <w:p>
      <w:pPr>
        <w:spacing w:before="0" w:after="120" w:lineRule="exact" w:line="480"/>
        <w:ind w:firstLine="425"/>
      </w:pPr>
      <w:r>
        <w:rPr>
          <w:rFonts w:ascii="Times New Roman" w:hAnsi="Times New Roman"/>
          <w:b w:val="0"/>
          <w:i w:val="0"/>
          <w:sz w:val="24"/>
        </w:rPr>
        <w:t>[11] Sánchez-Juárez, A., López-Romero, J.M., Ávila-García, A., 2015. Effect of shadow and partial shading on the electrical parameters of PV modules. Energy Procedia 57, 1039–1047. https://doi.org/10.1016/j.egypro.2014.10.107</w:t>
      </w:r>
    </w:p>
    <w:p>
      <w:pPr>
        <w:spacing w:before="0" w:after="120" w:lineRule="exact" w:line="480"/>
        <w:ind w:firstLine="425"/>
      </w:pPr>
      <w:r>
        <w:rPr>
          <w:rFonts w:ascii="Times New Roman" w:hAnsi="Times New Roman"/>
          <w:b w:val="0"/>
          <w:i w:val="0"/>
          <w:sz w:val="24"/>
        </w:rPr>
        <w:t>[12] Peng, D., Fang, Z., Yu, X., Huang, Q., 2023. Characteristic analysis of patterned photovoltaic modules for building integration. Energy Conversion and Management 275, 116479. https://doi.org/10.1016/j.enconman.2022.116479</w:t>
      </w:r>
    </w:p>
    <w:p>
      <w:pPr>
        <w:spacing w:before="0" w:after="120" w:lineRule="exact" w:line="480"/>
        <w:ind w:firstLine="425"/>
      </w:pPr>
      <w:r>
        <w:rPr>
          <w:rFonts w:ascii="Times New Roman" w:hAnsi="Times New Roman"/>
          <w:b w:val="0"/>
          <w:i w:val="0"/>
          <w:sz w:val="24"/>
        </w:rPr>
        <w:t>[13] Zhan, M., et al., 2022. Micro-pattern coloured photovoltaic modules for building facade application. Sustainability 14(7), 4278. https://doi.org/10.3390/su14074278</w:t>
      </w:r>
    </w:p>
    <w:p>
      <w:pPr>
        <w:spacing w:before="0" w:after="120" w:lineRule="exact" w:line="480"/>
        <w:ind w:firstLine="425"/>
      </w:pPr>
      <w:r>
        <w:rPr>
          <w:rFonts w:ascii="Times New Roman" w:hAnsi="Times New Roman"/>
          <w:b w:val="0"/>
          <w:i w:val="0"/>
          <w:sz w:val="24"/>
        </w:rPr>
        <w:t>[14] Bradski, G., 2000. The OpenCV Library. Dr. Dobb's Journal of Software Tools. [Software: opencv.org, v4.x, accessed 2024]</w:t>
      </w:r>
    </w:p>
    <w:p>
      <w:pPr>
        <w:spacing w:before="0" w:after="120" w:lineRule="exact" w:line="480"/>
        <w:ind w:firstLine="425"/>
      </w:pPr>
      <w:r>
        <w:rPr>
          <w:rFonts w:ascii="Times New Roman" w:hAnsi="Times New Roman"/>
          <w:b w:val="0"/>
          <w:i w:val="0"/>
          <w:sz w:val="24"/>
        </w:rPr>
        <w:t>[15] BIPM/IEC/IFCC/ISO/IUPAC/IUPAP/OIML, 2008. Guide to the Expression of Uncertainty in Measurement (GUM). JCGM 100:2008.</w:t>
      </w:r>
    </w:p>
    <w:p>
      <w:pPr>
        <w:keepNext/>
        <w:spacing w:before="240" w:after="80"/>
      </w:pPr>
      <w:r>
        <w:rPr>
          <w:rFonts w:ascii="Times New Roman" w:hAnsi="Times New Roman"/>
          <w:b/>
          <w:i w:val="0"/>
          <w:sz w:val="28"/>
        </w:rPr>
        <w:t>Figure captions</w:t>
      </w:r>
    </w:p>
    <w:p>
      <w:pPr>
        <w:spacing w:before="40" w:after="160" w:lineRule="exact" w:line="300"/>
      </w:pPr>
      <w:r>
        <w:rPr>
          <w:rFonts w:ascii="Times New Roman" w:hAnsi="Times New Roman"/>
          <w:b w:val="0"/>
          <w:i/>
          <w:sz w:val="20"/>
        </w:rPr>
        <w:t>Fig. 1. Workflow of the seven-stage dot-pattern algorithm: (1) image pre-processing, (2) cell grid registration, (3) CCR specification, (4) greyscale-to-density mapping, (5) per-cell CCR enforcement, (6) dot geometry optimisation, (7) output and PUI verification. [To be prepared as schematic; see data/pattern_images/algorithm_steps/]</w:t>
      </w:r>
    </w:p>
    <w:p>
      <w:pPr>
        <w:spacing w:before="40" w:after="160" w:lineRule="exact" w:line="300"/>
      </w:pPr>
      <w:r>
        <w:rPr>
          <w:rFonts w:ascii="Times New Roman" w:hAnsi="Times New Roman"/>
          <w:b w:val="0"/>
          <w:i/>
          <w:sz w:val="20"/>
        </w:rPr>
        <w:t>Fig. 2. Representative dot-pattern images for the three optimisation modes: energy-oriented (small dots, high SF), graphic-oriented (large dots, high contrast), and balanced. Left: step5_energy_oriented.jpg; Centre: step5_balanced_oriented.jpg; Right: step5_graphic_oriented.jpg.</w:t>
      </w:r>
    </w:p>
    <w:p>
      <w:pPr>
        <w:spacing w:before="40" w:after="160" w:lineRule="exact" w:line="300"/>
      </w:pPr>
      <w:r>
        <w:rPr>
          <w:rFonts w:ascii="Times New Roman" w:hAnsi="Times New Roman"/>
          <w:b w:val="0"/>
          <w:i/>
          <w:sz w:val="20"/>
        </w:rPr>
        <w:t>Fig. 3. STC efficiency vs. colour coverage ratio (CCR) for all ten laboratory specimens. Linear regression on the same-image series (M-5, M-9, M-8, M-7): η = −0.1503·CCR + 16.908, R² = 0.9957. Source: figures/Fig3_coverage_efficiency_regression.png.</w:t>
      </w:r>
    </w:p>
    <w:p>
      <w:pPr>
        <w:spacing w:before="40" w:after="160" w:lineRule="exact" w:line="300"/>
      </w:pPr>
      <w:r>
        <w:rPr>
          <w:rFonts w:ascii="Times New Roman" w:hAnsi="Times New Roman"/>
          <w:b w:val="0"/>
          <w:i/>
          <w:sz w:val="20"/>
        </w:rPr>
        <w:t>Fig. 4. Multi-descriptor correlation analysis. (a) Descriptor values for six pattern configurations (three image families × two algorithm modes). (b) Pearson correlation coefficients between descriptors and efficiency loss. Edge Density is the strongest predictor (r = 0.995). Source: figures/Fig4_multi_descriptor_correlation.png.</w:t>
      </w:r>
    </w:p>
    <w:p>
      <w:pPr>
        <w:spacing w:before="40" w:after="160" w:lineRule="exact" w:line="300"/>
      </w:pPr>
      <w:r>
        <w:rPr>
          <w:rFonts w:ascii="Times New Roman" w:hAnsi="Times New Roman"/>
          <w:b w:val="0"/>
          <w:i/>
          <w:sz w:val="20"/>
        </w:rPr>
        <w:t>Fig. 5. Optical loss decomposition for all nine non-baseline specimens: photocurrent loss (ΔIsc/Isc), voltage loss (ΔVoc/Voc), and fill factor change (ΔFF/FF). Total relative efficiency loss shown as red diamonds. Source: figures/Fig5_loss_decomposition.png.</w:t>
      </w:r>
    </w:p>
    <w:p>
      <w:pPr>
        <w:spacing w:before="40" w:after="160" w:lineRule="exact" w:line="300"/>
      </w:pPr>
      <w:r>
        <w:rPr>
          <w:rFonts w:ascii="Times New Roman" w:hAnsi="Times New Roman"/>
          <w:b w:val="0"/>
          <w:i/>
          <w:sz w:val="20"/>
        </w:rPr>
        <w:t>Fig. 6. Effective shading model: measured Isc vs. CCR with model lines for α = 0.75, 0.80, 0.90, 1.00. Dot-pattern modules cluster around α = 0.796 ± 0.093; coloured-glass module (M-5C) shows α = 1.088. Source: figures/Fig6_shading_model.png.</w:t>
      </w:r>
    </w:p>
    <w:p>
      <w:pPr>
        <w:spacing w:before="40" w:after="160" w:lineRule="exact" w:line="300"/>
      </w:pPr>
      <w:r>
        <w:rPr>
          <w:rFonts w:ascii="Times New Roman" w:hAnsi="Times New Roman"/>
          <w:b w:val="0"/>
          <w:i/>
          <w:sz w:val="20"/>
        </w:rPr>
        <w:t>Fig. 7. Effective shading coefficient α per module, sorted by value. Blue bars: dot-pattern modules (mean α = 0.796); red bars: non-dot-pattern references. Source: figures/Fig7_Isc_shading_model.png.</w:t>
      </w:r>
    </w:p>
    <w:p>
      <w:pPr>
        <w:spacing w:before="40" w:after="160" w:lineRule="exact" w:line="300"/>
      </w:pPr>
      <w:r>
        <w:rPr>
          <w:rFonts w:ascii="Times New Roman" w:hAnsi="Times New Roman"/>
          <w:b w:val="0"/>
          <w:i/>
          <w:sz w:val="20"/>
        </w:rPr>
        <w:t>Fig. 8. Monte Carlo hotspot simulation (1000 realisations). (a) Cell-level CCR distributions: algorithm pattern (tight, PUI → 0) vs. free image print (wide distribution). (b) Current mismatch histograms: algorithm 1.0%, free print 12.2%. Source: figures/Fig8_hotspot_simulation.png.</w:t>
      </w:r>
    </w:p>
    <w:p>
      <w:pPr>
        <w:spacing w:before="40" w:after="160" w:lineRule="exact" w:line="300"/>
      </w:pPr>
      <w:r>
        <w:rPr>
          <w:rFonts w:ascii="Times New Roman" w:hAnsi="Times New Roman"/>
          <w:b w:val="0"/>
          <w:i/>
          <w:sz w:val="20"/>
        </w:rPr>
        <w:t>Fig. 9. Product-scale validation: STC performance of EG-PF1–EG-PF3 (CetisPV) vs. uncoloured baseline EG-PF4. Relative efficiency losses 27.56–27.70%. Source: figures/Fig9_product_validation.png.</w:t>
      </w:r>
    </w:p>
    <w:p>
      <w:pPr>
        <w:spacing w:before="40" w:after="160" w:lineRule="exact" w:line="300"/>
      </w:pPr>
      <w:r>
        <w:rPr>
          <w:rFonts w:ascii="Times New Roman" w:hAnsi="Times New Roman"/>
          <w:b w:val="0"/>
          <w:i/>
          <w:sz w:val="20"/>
        </w:rPr>
        <w:t>Fig. 10. Taxonomy of 27 global PV art installations by application category and colouring method. Source: figures/Fig10_pvart_taxonomy.png.</w:t>
      </w:r>
    </w:p>
    <w:p>
      <w:pPr>
        <w:spacing w:before="40" w:after="160" w:lineRule="exact" w:line="300"/>
      </w:pPr>
      <w:r>
        <w:rPr>
          <w:rFonts w:ascii="Times New Roman" w:hAnsi="Times New Roman"/>
          <w:b w:val="0"/>
          <w:i/>
          <w:sz w:val="20"/>
        </w:rPr>
        <w:t>Fig. 11. Technology gap analysis: image customisability vs. efficiency retention for major coloured-PV approaches. Bubble size encodes hotspot risk addressed. The proposed dot-pattern algorithm occupies the unique 'triple sweet spot'. Source: figures/Fig11_gap_analysis.png.</w:t>
      </w:r>
    </w:p>
    <w:p>
      <w:pPr>
        <w:keepNext/>
        <w:spacing w:before="240" w:after="80"/>
      </w:pPr>
      <w:r>
        <w:rPr>
          <w:rFonts w:ascii="Times New Roman" w:hAnsi="Times New Roman"/>
          <w:b/>
          <w:i w:val="0"/>
          <w:sz w:val="28"/>
        </w:rPr>
        <w:t>Tables</w:t>
      </w:r>
    </w:p>
    <w:p>
      <w:pPr>
        <w:spacing w:before="40" w:after="160" w:lineRule="exact" w:line="300"/>
      </w:pPr>
      <w:r>
        <w:rPr>
          <w:rFonts w:ascii="Times New Roman" w:hAnsi="Times New Roman"/>
          <w:b w:val="0"/>
          <w:i/>
          <w:sz w:val="20"/>
        </w:rPr>
        <w:t>Table 1. Coloured PV technology comparison (see Introduction, Section 1.2).</w:t>
      </w:r>
    </w:p>
    <w:p>
      <w:pPr>
        <w:spacing w:before="40" w:after="160" w:lineRule="exact" w:line="300"/>
      </w:pPr>
      <w:r>
        <w:rPr>
          <w:rFonts w:ascii="Times New Roman" w:hAnsi="Times New Roman"/>
          <w:b w:val="0"/>
          <w:i/>
          <w:sz w:val="20"/>
        </w:rPr>
        <w:t>Table 2. Laboratory-scale specimen summary (SERIS).</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pPr>
              <w:spacing w:after="40"/>
            </w:pPr>
            <w:r>
              <w:rPr>
                <w:rFonts w:ascii="Times New Roman" w:hAnsi="Times New Roman"/>
                <w:b/>
                <w:i w:val="0"/>
                <w:sz w:val="20"/>
              </w:rPr>
              <w:t>Module</w:t>
            </w:r>
          </w:p>
        </w:tc>
        <w:tc>
          <w:tcPr>
            <w:tcW w:type="dxa" w:w="1140"/>
          </w:tcPr>
          <w:p>
            <w:pPr>
              <w:spacing w:after="40"/>
            </w:pPr>
            <w:r>
              <w:rPr>
                <w:rFonts w:ascii="Times New Roman" w:hAnsi="Times New Roman"/>
                <w:b/>
                <w:i w:val="0"/>
                <w:sz w:val="20"/>
              </w:rPr>
              <w:t>Method</w:t>
            </w:r>
          </w:p>
        </w:tc>
        <w:tc>
          <w:tcPr>
            <w:tcW w:type="dxa" w:w="1140"/>
          </w:tcPr>
          <w:p>
            <w:pPr>
              <w:spacing w:after="40"/>
            </w:pPr>
            <w:r>
              <w:rPr>
                <w:rFonts w:ascii="Times New Roman" w:hAnsi="Times New Roman"/>
                <w:b/>
                <w:i w:val="0"/>
                <w:sz w:val="20"/>
              </w:rPr>
              <w:t>CCR (%)</w:t>
            </w:r>
          </w:p>
        </w:tc>
        <w:tc>
          <w:tcPr>
            <w:tcW w:type="dxa" w:w="1140"/>
          </w:tcPr>
          <w:p>
            <w:pPr>
              <w:spacing w:after="40"/>
            </w:pPr>
            <w:r>
              <w:rPr>
                <w:rFonts w:ascii="Times New Roman" w:hAnsi="Times New Roman"/>
                <w:b/>
                <w:i w:val="0"/>
                <w:sz w:val="20"/>
              </w:rPr>
              <w:t>Pmax (W)</w:t>
            </w:r>
          </w:p>
        </w:tc>
        <w:tc>
          <w:tcPr>
            <w:tcW w:type="dxa" w:w="1140"/>
          </w:tcPr>
          <w:p>
            <w:pPr>
              <w:spacing w:after="40"/>
            </w:pPr>
            <w:r>
              <w:rPr>
                <w:rFonts w:ascii="Times New Roman" w:hAnsi="Times New Roman"/>
                <w:b/>
                <w:i w:val="0"/>
                <w:sz w:val="20"/>
              </w:rPr>
              <w:t>η (%)</w:t>
            </w:r>
          </w:p>
        </w:tc>
        <w:tc>
          <w:tcPr>
            <w:tcW w:type="dxa" w:w="1140"/>
          </w:tcPr>
          <w:p>
            <w:pPr>
              <w:spacing w:after="40"/>
            </w:pPr>
            <w:r>
              <w:rPr>
                <w:rFonts w:ascii="Times New Roman" w:hAnsi="Times New Roman"/>
                <w:b/>
                <w:i w:val="0"/>
                <w:sz w:val="20"/>
              </w:rPr>
              <w:t>Isc (A)</w:t>
            </w:r>
          </w:p>
        </w:tc>
        <w:tc>
          <w:tcPr>
            <w:tcW w:type="dxa" w:w="1140"/>
          </w:tcPr>
          <w:p>
            <w:pPr>
              <w:spacing w:after="40"/>
            </w:pPr>
            <w:r>
              <w:rPr>
                <w:rFonts w:ascii="Times New Roman" w:hAnsi="Times New Roman"/>
                <w:b/>
                <w:i w:val="0"/>
                <w:sz w:val="20"/>
              </w:rPr>
              <w:t>Voc (V)</w:t>
            </w:r>
          </w:p>
        </w:tc>
        <w:tc>
          <w:tcPr>
            <w:tcW w:type="dxa" w:w="1140"/>
          </w:tcPr>
          <w:p>
            <w:pPr>
              <w:spacing w:after="40"/>
            </w:pPr>
            <w:r>
              <w:rPr>
                <w:rFonts w:ascii="Times New Roman" w:hAnsi="Times New Roman"/>
                <w:b/>
                <w:i w:val="0"/>
                <w:sz w:val="20"/>
              </w:rPr>
              <w:t>FF (%)</w:t>
            </w:r>
          </w:p>
        </w:tc>
      </w:tr>
      <w:tr>
        <w:tc>
          <w:tcPr>
            <w:tcW w:type="dxa" w:w="1140"/>
          </w:tcPr>
          <w:p>
            <w:pPr>
              <w:spacing w:after="40"/>
            </w:pPr>
            <w:r>
              <w:rPr>
                <w:rFonts w:ascii="Times New Roman" w:hAnsi="Times New Roman"/>
                <w:b w:val="0"/>
                <w:i w:val="0"/>
                <w:sz w:val="20"/>
              </w:rPr>
              <w:t>M-5</w:t>
            </w:r>
          </w:p>
        </w:tc>
        <w:tc>
          <w:tcPr>
            <w:tcW w:type="dxa" w:w="1140"/>
          </w:tcPr>
          <w:p>
            <w:pPr>
              <w:spacing w:after="40"/>
            </w:pPr>
            <w:r>
              <w:rPr>
                <w:rFonts w:ascii="Times New Roman" w:hAnsi="Times New Roman"/>
                <w:b w:val="0"/>
                <w:i w:val="0"/>
                <w:sz w:val="20"/>
              </w:rPr>
              <w:t>Baseline (no print)</w:t>
            </w:r>
          </w:p>
        </w:tc>
        <w:tc>
          <w:tcPr>
            <w:tcW w:type="dxa" w:w="1140"/>
          </w:tcPr>
          <w:p>
            <w:pPr>
              <w:spacing w:after="40"/>
            </w:pPr>
            <w:r>
              <w:rPr>
                <w:rFonts w:ascii="Times New Roman" w:hAnsi="Times New Roman"/>
                <w:b w:val="0"/>
                <w:i w:val="0"/>
                <w:sz w:val="20"/>
              </w:rPr>
              <w:t>0.00</w:t>
            </w:r>
          </w:p>
        </w:tc>
        <w:tc>
          <w:tcPr>
            <w:tcW w:type="dxa" w:w="1140"/>
          </w:tcPr>
          <w:p>
            <w:pPr>
              <w:spacing w:after="40"/>
            </w:pPr>
            <w:r>
              <w:rPr>
                <w:rFonts w:ascii="Times New Roman" w:hAnsi="Times New Roman"/>
                <w:b w:val="0"/>
                <w:i w:val="0"/>
                <w:sz w:val="20"/>
              </w:rPr>
              <w:t>245.0</w:t>
            </w:r>
          </w:p>
        </w:tc>
        <w:tc>
          <w:tcPr>
            <w:tcW w:type="dxa" w:w="1140"/>
          </w:tcPr>
          <w:p>
            <w:pPr>
              <w:spacing w:after="40"/>
            </w:pPr>
            <w:r>
              <w:rPr>
                <w:rFonts w:ascii="Times New Roman" w:hAnsi="Times New Roman"/>
                <w:b w:val="0"/>
                <w:i w:val="0"/>
                <w:sz w:val="20"/>
              </w:rPr>
              <w:t>16.63</w:t>
            </w:r>
          </w:p>
        </w:tc>
        <w:tc>
          <w:tcPr>
            <w:tcW w:type="dxa" w:w="1140"/>
          </w:tcPr>
          <w:p>
            <w:pPr>
              <w:spacing w:after="40"/>
            </w:pPr>
            <w:r>
              <w:rPr>
                <w:rFonts w:ascii="Times New Roman" w:hAnsi="Times New Roman"/>
                <w:b w:val="0"/>
                <w:i w:val="0"/>
                <w:sz w:val="20"/>
              </w:rPr>
              <w:t>8.05</w:t>
            </w:r>
          </w:p>
        </w:tc>
        <w:tc>
          <w:tcPr>
            <w:tcW w:type="dxa" w:w="1140"/>
          </w:tcPr>
          <w:p>
            <w:pPr>
              <w:spacing w:after="40"/>
            </w:pPr>
            <w:r>
              <w:rPr>
                <w:rFonts w:ascii="Times New Roman" w:hAnsi="Times New Roman"/>
                <w:b w:val="0"/>
                <w:i w:val="0"/>
                <w:sz w:val="20"/>
              </w:rPr>
              <w:t>39.73</w:t>
            </w:r>
          </w:p>
        </w:tc>
        <w:tc>
          <w:tcPr>
            <w:tcW w:type="dxa" w:w="1140"/>
          </w:tcPr>
          <w:p>
            <w:pPr>
              <w:spacing w:after="40"/>
            </w:pPr>
            <w:r>
              <w:rPr>
                <w:rFonts w:ascii="Times New Roman" w:hAnsi="Times New Roman"/>
                <w:b w:val="0"/>
                <w:i w:val="0"/>
                <w:sz w:val="20"/>
              </w:rPr>
              <w:t>76.5</w:t>
            </w:r>
          </w:p>
        </w:tc>
      </w:tr>
      <w:tr>
        <w:tc>
          <w:tcPr>
            <w:tcW w:type="dxa" w:w="1140"/>
          </w:tcPr>
          <w:p>
            <w:pPr>
              <w:spacing w:after="40"/>
            </w:pPr>
            <w:r>
              <w:rPr>
                <w:rFonts w:ascii="Times New Roman" w:hAnsi="Times New Roman"/>
                <w:b w:val="0"/>
                <w:i w:val="0"/>
                <w:sz w:val="20"/>
              </w:rPr>
              <w:t>M-3</w:t>
            </w:r>
          </w:p>
        </w:tc>
        <w:tc>
          <w:tcPr>
            <w:tcW w:type="dxa" w:w="1140"/>
          </w:tcPr>
          <w:p>
            <w:pPr>
              <w:spacing w:after="40"/>
            </w:pPr>
            <w:r>
              <w:rPr>
                <w:rFonts w:ascii="Times New Roman" w:hAnsi="Times New Roman"/>
                <w:b w:val="0"/>
                <w:i w:val="0"/>
                <w:sz w:val="20"/>
              </w:rPr>
              <w:t>Dot pattern</w:t>
            </w:r>
          </w:p>
        </w:tc>
        <w:tc>
          <w:tcPr>
            <w:tcW w:type="dxa" w:w="1140"/>
          </w:tcPr>
          <w:p>
            <w:pPr>
              <w:spacing w:after="40"/>
            </w:pPr>
            <w:r>
              <w:rPr>
                <w:rFonts w:ascii="Times New Roman" w:hAnsi="Times New Roman"/>
                <w:b w:val="0"/>
                <w:i w:val="0"/>
                <w:sz w:val="20"/>
              </w:rPr>
              <w:t>18.66</w:t>
            </w:r>
          </w:p>
        </w:tc>
        <w:tc>
          <w:tcPr>
            <w:tcW w:type="dxa" w:w="1140"/>
          </w:tcPr>
          <w:p>
            <w:pPr>
              <w:spacing w:after="40"/>
            </w:pPr>
            <w:r>
              <w:rPr>
                <w:rFonts w:ascii="Times New Roman" w:hAnsi="Times New Roman"/>
                <w:b w:val="0"/>
                <w:i w:val="0"/>
                <w:sz w:val="20"/>
              </w:rPr>
              <w:t>213.7</w:t>
            </w:r>
          </w:p>
        </w:tc>
        <w:tc>
          <w:tcPr>
            <w:tcW w:type="dxa" w:w="1140"/>
          </w:tcPr>
          <w:p>
            <w:pPr>
              <w:spacing w:after="40"/>
            </w:pPr>
            <w:r>
              <w:rPr>
                <w:rFonts w:ascii="Times New Roman" w:hAnsi="Times New Roman"/>
                <w:b w:val="0"/>
                <w:i w:val="0"/>
                <w:sz w:val="20"/>
              </w:rPr>
              <w:t>14.50</w:t>
            </w:r>
          </w:p>
        </w:tc>
        <w:tc>
          <w:tcPr>
            <w:tcW w:type="dxa" w:w="1140"/>
          </w:tcPr>
          <w:p>
            <w:pPr>
              <w:spacing w:after="40"/>
            </w:pPr>
            <w:r>
              <w:rPr>
                <w:rFonts w:ascii="Times New Roman" w:hAnsi="Times New Roman"/>
                <w:b w:val="0"/>
                <w:i w:val="0"/>
                <w:sz w:val="20"/>
              </w:rPr>
              <w:t>6.96</w:t>
            </w:r>
          </w:p>
        </w:tc>
        <w:tc>
          <w:tcPr>
            <w:tcW w:type="dxa" w:w="1140"/>
          </w:tcPr>
          <w:p>
            <w:pPr>
              <w:spacing w:after="40"/>
            </w:pPr>
            <w:r>
              <w:rPr>
                <w:rFonts w:ascii="Times New Roman" w:hAnsi="Times New Roman"/>
                <w:b w:val="0"/>
                <w:i w:val="0"/>
                <w:sz w:val="20"/>
              </w:rPr>
              <w:t>39.41</w:t>
            </w:r>
          </w:p>
        </w:tc>
        <w:tc>
          <w:tcPr>
            <w:tcW w:type="dxa" w:w="1140"/>
          </w:tcPr>
          <w:p>
            <w:pPr>
              <w:spacing w:after="40"/>
            </w:pPr>
            <w:r>
              <w:rPr>
                <w:rFonts w:ascii="Times New Roman" w:hAnsi="Times New Roman"/>
                <w:b w:val="0"/>
                <w:i w:val="0"/>
                <w:sz w:val="20"/>
              </w:rPr>
              <w:t>77.9</w:t>
            </w:r>
          </w:p>
        </w:tc>
      </w:tr>
      <w:tr>
        <w:tc>
          <w:tcPr>
            <w:tcW w:type="dxa" w:w="1140"/>
          </w:tcPr>
          <w:p>
            <w:pPr>
              <w:spacing w:after="40"/>
            </w:pPr>
            <w:r>
              <w:rPr>
                <w:rFonts w:ascii="Times New Roman" w:hAnsi="Times New Roman"/>
                <w:b w:val="0"/>
                <w:i w:val="0"/>
                <w:sz w:val="20"/>
              </w:rPr>
              <w:t>M-1</w:t>
            </w:r>
          </w:p>
        </w:tc>
        <w:tc>
          <w:tcPr>
            <w:tcW w:type="dxa" w:w="1140"/>
          </w:tcPr>
          <w:p>
            <w:pPr>
              <w:spacing w:after="40"/>
            </w:pPr>
            <w:r>
              <w:rPr>
                <w:rFonts w:ascii="Times New Roman" w:hAnsi="Times New Roman"/>
                <w:b w:val="0"/>
                <w:i w:val="0"/>
                <w:sz w:val="20"/>
              </w:rPr>
              <w:t>Dot pattern</w:t>
            </w:r>
          </w:p>
        </w:tc>
        <w:tc>
          <w:tcPr>
            <w:tcW w:type="dxa" w:w="1140"/>
          </w:tcPr>
          <w:p>
            <w:pPr>
              <w:spacing w:after="40"/>
            </w:pPr>
            <w:r>
              <w:rPr>
                <w:rFonts w:ascii="Times New Roman" w:hAnsi="Times New Roman"/>
                <w:b w:val="0"/>
                <w:i w:val="0"/>
                <w:sz w:val="20"/>
              </w:rPr>
              <w:t>26.48</w:t>
            </w:r>
          </w:p>
        </w:tc>
        <w:tc>
          <w:tcPr>
            <w:tcW w:type="dxa" w:w="1140"/>
          </w:tcPr>
          <w:p>
            <w:pPr>
              <w:spacing w:after="40"/>
            </w:pPr>
            <w:r>
              <w:rPr>
                <w:rFonts w:ascii="Times New Roman" w:hAnsi="Times New Roman"/>
                <w:b w:val="0"/>
                <w:i w:val="0"/>
                <w:sz w:val="20"/>
              </w:rPr>
              <w:t>201.0</w:t>
            </w:r>
          </w:p>
        </w:tc>
        <w:tc>
          <w:tcPr>
            <w:tcW w:type="dxa" w:w="1140"/>
          </w:tcPr>
          <w:p>
            <w:pPr>
              <w:spacing w:after="40"/>
            </w:pPr>
            <w:r>
              <w:rPr>
                <w:rFonts w:ascii="Times New Roman" w:hAnsi="Times New Roman"/>
                <w:b w:val="0"/>
                <w:i w:val="0"/>
                <w:sz w:val="20"/>
              </w:rPr>
              <w:t>13.64</w:t>
            </w:r>
          </w:p>
        </w:tc>
        <w:tc>
          <w:tcPr>
            <w:tcW w:type="dxa" w:w="1140"/>
          </w:tcPr>
          <w:p>
            <w:pPr>
              <w:spacing w:after="40"/>
            </w:pPr>
            <w:r>
              <w:rPr>
                <w:rFonts w:ascii="Times New Roman" w:hAnsi="Times New Roman"/>
                <w:b w:val="0"/>
                <w:i w:val="0"/>
                <w:sz w:val="20"/>
              </w:rPr>
              <w:t>6.61</w:t>
            </w:r>
          </w:p>
        </w:tc>
        <w:tc>
          <w:tcPr>
            <w:tcW w:type="dxa" w:w="1140"/>
          </w:tcPr>
          <w:p>
            <w:pPr>
              <w:spacing w:after="40"/>
            </w:pPr>
            <w:r>
              <w:rPr>
                <w:rFonts w:ascii="Times New Roman" w:hAnsi="Times New Roman"/>
                <w:b w:val="0"/>
                <w:i w:val="0"/>
                <w:sz w:val="20"/>
              </w:rPr>
              <w:t>39.35</w:t>
            </w:r>
          </w:p>
        </w:tc>
        <w:tc>
          <w:tcPr>
            <w:tcW w:type="dxa" w:w="1140"/>
          </w:tcPr>
          <w:p>
            <w:pPr>
              <w:spacing w:after="40"/>
            </w:pPr>
            <w:r>
              <w:rPr>
                <w:rFonts w:ascii="Times New Roman" w:hAnsi="Times New Roman"/>
                <w:b w:val="0"/>
                <w:i w:val="0"/>
                <w:sz w:val="20"/>
              </w:rPr>
              <w:t>77.4</w:t>
            </w:r>
          </w:p>
        </w:tc>
      </w:tr>
      <w:tr>
        <w:tc>
          <w:tcPr>
            <w:tcW w:type="dxa" w:w="1140"/>
          </w:tcPr>
          <w:p>
            <w:pPr>
              <w:spacing w:after="40"/>
            </w:pPr>
            <w:r>
              <w:rPr>
                <w:rFonts w:ascii="Times New Roman" w:hAnsi="Times New Roman"/>
                <w:b w:val="0"/>
                <w:i w:val="0"/>
                <w:sz w:val="20"/>
              </w:rPr>
              <w:t>M-9</w:t>
            </w:r>
          </w:p>
        </w:tc>
        <w:tc>
          <w:tcPr>
            <w:tcW w:type="dxa" w:w="1140"/>
          </w:tcPr>
          <w:p>
            <w:pPr>
              <w:spacing w:after="40"/>
            </w:pPr>
            <w:r>
              <w:rPr>
                <w:rFonts w:ascii="Times New Roman" w:hAnsi="Times New Roman"/>
                <w:b w:val="0"/>
                <w:i w:val="0"/>
                <w:sz w:val="20"/>
              </w:rPr>
              <w:t>Dot pattern (small)</w:t>
            </w:r>
          </w:p>
        </w:tc>
        <w:tc>
          <w:tcPr>
            <w:tcW w:type="dxa" w:w="1140"/>
          </w:tcPr>
          <w:p>
            <w:pPr>
              <w:spacing w:after="40"/>
            </w:pPr>
            <w:r>
              <w:rPr>
                <w:rFonts w:ascii="Times New Roman" w:hAnsi="Times New Roman"/>
                <w:b w:val="0"/>
                <w:i w:val="0"/>
                <w:sz w:val="20"/>
              </w:rPr>
              <w:t>26.48</w:t>
            </w:r>
          </w:p>
        </w:tc>
        <w:tc>
          <w:tcPr>
            <w:tcW w:type="dxa" w:w="1140"/>
          </w:tcPr>
          <w:p>
            <w:pPr>
              <w:spacing w:after="40"/>
            </w:pPr>
            <w:r>
              <w:rPr>
                <w:rFonts w:ascii="Times New Roman" w:hAnsi="Times New Roman"/>
                <w:b w:val="0"/>
                <w:i w:val="0"/>
                <w:sz w:val="20"/>
              </w:rPr>
              <w:t>198.8</w:t>
            </w:r>
          </w:p>
        </w:tc>
        <w:tc>
          <w:tcPr>
            <w:tcW w:type="dxa" w:w="1140"/>
          </w:tcPr>
          <w:p>
            <w:pPr>
              <w:spacing w:after="40"/>
            </w:pPr>
            <w:r>
              <w:rPr>
                <w:rFonts w:ascii="Times New Roman" w:hAnsi="Times New Roman"/>
                <w:b w:val="0"/>
                <w:i w:val="0"/>
                <w:sz w:val="20"/>
              </w:rPr>
              <w:t>13.50</w:t>
            </w:r>
          </w:p>
        </w:tc>
        <w:tc>
          <w:tcPr>
            <w:tcW w:type="dxa" w:w="1140"/>
          </w:tcPr>
          <w:p>
            <w:pPr>
              <w:spacing w:after="40"/>
            </w:pPr>
            <w:r>
              <w:rPr>
                <w:rFonts w:ascii="Times New Roman" w:hAnsi="Times New Roman"/>
                <w:b w:val="0"/>
                <w:i w:val="0"/>
                <w:sz w:val="20"/>
              </w:rPr>
              <w:t>6.44</w:t>
            </w:r>
          </w:p>
        </w:tc>
        <w:tc>
          <w:tcPr>
            <w:tcW w:type="dxa" w:w="1140"/>
          </w:tcPr>
          <w:p>
            <w:pPr>
              <w:spacing w:after="40"/>
            </w:pPr>
            <w:r>
              <w:rPr>
                <w:rFonts w:ascii="Times New Roman" w:hAnsi="Times New Roman"/>
                <w:b w:val="0"/>
                <w:i w:val="0"/>
                <w:sz w:val="20"/>
              </w:rPr>
              <w:t>39.49</w:t>
            </w:r>
          </w:p>
        </w:tc>
        <w:tc>
          <w:tcPr>
            <w:tcW w:type="dxa" w:w="1140"/>
          </w:tcPr>
          <w:p>
            <w:pPr>
              <w:spacing w:after="40"/>
            </w:pPr>
            <w:r>
              <w:rPr>
                <w:rFonts w:ascii="Times New Roman" w:hAnsi="Times New Roman"/>
                <w:b w:val="0"/>
                <w:i w:val="0"/>
                <w:sz w:val="20"/>
              </w:rPr>
              <w:t>78.2</w:t>
            </w:r>
          </w:p>
        </w:tc>
      </w:tr>
      <w:tr>
        <w:tc>
          <w:tcPr>
            <w:tcW w:type="dxa" w:w="1140"/>
          </w:tcPr>
          <w:p>
            <w:pPr>
              <w:spacing w:after="40"/>
            </w:pPr>
            <w:r>
              <w:rPr>
                <w:rFonts w:ascii="Times New Roman" w:hAnsi="Times New Roman"/>
                <w:b w:val="0"/>
                <w:i w:val="0"/>
                <w:sz w:val="20"/>
              </w:rPr>
              <w:t>M-4</w:t>
            </w:r>
          </w:p>
        </w:tc>
        <w:tc>
          <w:tcPr>
            <w:tcW w:type="dxa" w:w="1140"/>
          </w:tcPr>
          <w:p>
            <w:pPr>
              <w:spacing w:after="40"/>
            </w:pPr>
            <w:r>
              <w:rPr>
                <w:rFonts w:ascii="Times New Roman" w:hAnsi="Times New Roman"/>
                <w:b w:val="0"/>
                <w:i w:val="0"/>
                <w:sz w:val="20"/>
              </w:rPr>
              <w:t>Dot pattern (mixed)</w:t>
            </w:r>
          </w:p>
        </w:tc>
        <w:tc>
          <w:tcPr>
            <w:tcW w:type="dxa" w:w="1140"/>
          </w:tcPr>
          <w:p>
            <w:pPr>
              <w:spacing w:after="40"/>
            </w:pPr>
            <w:r>
              <w:rPr>
                <w:rFonts w:ascii="Times New Roman" w:hAnsi="Times New Roman"/>
                <w:b w:val="0"/>
                <w:i w:val="0"/>
                <w:sz w:val="20"/>
              </w:rPr>
              <w:t>26.48</w:t>
            </w:r>
          </w:p>
        </w:tc>
        <w:tc>
          <w:tcPr>
            <w:tcW w:type="dxa" w:w="1140"/>
          </w:tcPr>
          <w:p>
            <w:pPr>
              <w:spacing w:after="40"/>
            </w:pPr>
            <w:r>
              <w:rPr>
                <w:rFonts w:ascii="Times New Roman" w:hAnsi="Times New Roman"/>
                <w:b w:val="0"/>
                <w:i w:val="0"/>
                <w:sz w:val="20"/>
              </w:rPr>
              <w:t>193.8</w:t>
            </w:r>
          </w:p>
        </w:tc>
        <w:tc>
          <w:tcPr>
            <w:tcW w:type="dxa" w:w="1140"/>
          </w:tcPr>
          <w:p>
            <w:pPr>
              <w:spacing w:after="40"/>
            </w:pPr>
            <w:r>
              <w:rPr>
                <w:rFonts w:ascii="Times New Roman" w:hAnsi="Times New Roman"/>
                <w:b w:val="0"/>
                <w:i w:val="0"/>
                <w:sz w:val="20"/>
              </w:rPr>
              <w:t>13.15</w:t>
            </w:r>
          </w:p>
        </w:tc>
        <w:tc>
          <w:tcPr>
            <w:tcW w:type="dxa" w:w="1140"/>
          </w:tcPr>
          <w:p>
            <w:pPr>
              <w:spacing w:after="40"/>
            </w:pPr>
            <w:r>
              <w:rPr>
                <w:rFonts w:ascii="Times New Roman" w:hAnsi="Times New Roman"/>
                <w:b w:val="0"/>
                <w:i w:val="0"/>
                <w:sz w:val="20"/>
              </w:rPr>
              <w:t>6.30</w:t>
            </w:r>
          </w:p>
        </w:tc>
        <w:tc>
          <w:tcPr>
            <w:tcW w:type="dxa" w:w="1140"/>
          </w:tcPr>
          <w:p>
            <w:pPr>
              <w:spacing w:after="40"/>
            </w:pPr>
            <w:r>
              <w:rPr>
                <w:rFonts w:ascii="Times New Roman" w:hAnsi="Times New Roman"/>
                <w:b w:val="0"/>
                <w:i w:val="0"/>
                <w:sz w:val="20"/>
              </w:rPr>
              <w:t>39.24</w:t>
            </w:r>
          </w:p>
        </w:tc>
        <w:tc>
          <w:tcPr>
            <w:tcW w:type="dxa" w:w="1140"/>
          </w:tcPr>
          <w:p>
            <w:pPr>
              <w:spacing w:after="40"/>
            </w:pPr>
            <w:r>
              <w:rPr>
                <w:rFonts w:ascii="Times New Roman" w:hAnsi="Times New Roman"/>
                <w:b w:val="0"/>
                <w:i w:val="0"/>
                <w:sz w:val="20"/>
              </w:rPr>
              <w:t>78.3</w:t>
            </w:r>
          </w:p>
        </w:tc>
      </w:tr>
      <w:tr>
        <w:tc>
          <w:tcPr>
            <w:tcW w:type="dxa" w:w="1140"/>
          </w:tcPr>
          <w:p>
            <w:pPr>
              <w:spacing w:after="40"/>
            </w:pPr>
            <w:r>
              <w:rPr>
                <w:rFonts w:ascii="Times New Roman" w:hAnsi="Times New Roman"/>
                <w:b w:val="0"/>
                <w:i w:val="0"/>
                <w:sz w:val="20"/>
              </w:rPr>
              <w:t>M-6</w:t>
            </w:r>
          </w:p>
        </w:tc>
        <w:tc>
          <w:tcPr>
            <w:tcW w:type="dxa" w:w="1140"/>
          </w:tcPr>
          <w:p>
            <w:pPr>
              <w:spacing w:after="40"/>
            </w:pPr>
            <w:r>
              <w:rPr>
                <w:rFonts w:ascii="Times New Roman" w:hAnsi="Times New Roman"/>
                <w:b w:val="0"/>
                <w:i w:val="0"/>
                <w:sz w:val="20"/>
              </w:rPr>
              <w:t>Dot pattern (geom.)</w:t>
            </w:r>
          </w:p>
        </w:tc>
        <w:tc>
          <w:tcPr>
            <w:tcW w:type="dxa" w:w="1140"/>
          </w:tcPr>
          <w:p>
            <w:pPr>
              <w:spacing w:after="40"/>
            </w:pPr>
            <w:r>
              <w:rPr>
                <w:rFonts w:ascii="Times New Roman" w:hAnsi="Times New Roman"/>
                <w:b w:val="0"/>
                <w:i w:val="0"/>
                <w:sz w:val="20"/>
              </w:rPr>
              <w:t>26.48</w:t>
            </w:r>
          </w:p>
        </w:tc>
        <w:tc>
          <w:tcPr>
            <w:tcW w:type="dxa" w:w="1140"/>
          </w:tcPr>
          <w:p>
            <w:pPr>
              <w:spacing w:after="40"/>
            </w:pPr>
            <w:r>
              <w:rPr>
                <w:rFonts w:ascii="Times New Roman" w:hAnsi="Times New Roman"/>
                <w:b w:val="0"/>
                <w:i w:val="0"/>
                <w:sz w:val="20"/>
              </w:rPr>
              <w:t>193.5</w:t>
            </w:r>
          </w:p>
        </w:tc>
        <w:tc>
          <w:tcPr>
            <w:tcW w:type="dxa" w:w="1140"/>
          </w:tcPr>
          <w:p>
            <w:pPr>
              <w:spacing w:after="40"/>
            </w:pPr>
            <w:r>
              <w:rPr>
                <w:rFonts w:ascii="Times New Roman" w:hAnsi="Times New Roman"/>
                <w:b w:val="0"/>
                <w:i w:val="0"/>
                <w:sz w:val="20"/>
              </w:rPr>
              <w:t>13.13</w:t>
            </w:r>
          </w:p>
        </w:tc>
        <w:tc>
          <w:tcPr>
            <w:tcW w:type="dxa" w:w="1140"/>
          </w:tcPr>
          <w:p>
            <w:pPr>
              <w:spacing w:after="40"/>
            </w:pPr>
            <w:r>
              <w:rPr>
                <w:rFonts w:ascii="Times New Roman" w:hAnsi="Times New Roman"/>
                <w:b w:val="0"/>
                <w:i w:val="0"/>
                <w:sz w:val="20"/>
              </w:rPr>
              <w:t>6.12</w:t>
            </w:r>
          </w:p>
        </w:tc>
        <w:tc>
          <w:tcPr>
            <w:tcW w:type="dxa" w:w="1140"/>
          </w:tcPr>
          <w:p>
            <w:pPr>
              <w:spacing w:after="40"/>
            </w:pPr>
            <w:r>
              <w:rPr>
                <w:rFonts w:ascii="Times New Roman" w:hAnsi="Times New Roman"/>
                <w:b w:val="0"/>
                <w:i w:val="0"/>
                <w:sz w:val="20"/>
              </w:rPr>
              <w:t>39.64</w:t>
            </w:r>
          </w:p>
        </w:tc>
        <w:tc>
          <w:tcPr>
            <w:tcW w:type="dxa" w:w="1140"/>
          </w:tcPr>
          <w:p>
            <w:pPr>
              <w:spacing w:after="40"/>
            </w:pPr>
            <w:r>
              <w:rPr>
                <w:rFonts w:ascii="Times New Roman" w:hAnsi="Times New Roman"/>
                <w:b w:val="0"/>
                <w:i w:val="0"/>
                <w:sz w:val="20"/>
              </w:rPr>
              <w:t>79.5</w:t>
            </w:r>
          </w:p>
        </w:tc>
      </w:tr>
      <w:tr>
        <w:tc>
          <w:tcPr>
            <w:tcW w:type="dxa" w:w="1140"/>
          </w:tcPr>
          <w:p>
            <w:pPr>
              <w:spacing w:after="40"/>
            </w:pPr>
            <w:r>
              <w:rPr>
                <w:rFonts w:ascii="Times New Roman" w:hAnsi="Times New Roman"/>
                <w:b w:val="0"/>
                <w:i w:val="0"/>
                <w:sz w:val="20"/>
              </w:rPr>
              <w:t>M-2</w:t>
            </w:r>
          </w:p>
        </w:tc>
        <w:tc>
          <w:tcPr>
            <w:tcW w:type="dxa" w:w="1140"/>
          </w:tcPr>
          <w:p>
            <w:pPr>
              <w:spacing w:after="40"/>
            </w:pPr>
            <w:r>
              <w:rPr>
                <w:rFonts w:ascii="Times New Roman" w:hAnsi="Times New Roman"/>
                <w:b w:val="0"/>
                <w:i w:val="0"/>
                <w:sz w:val="20"/>
              </w:rPr>
              <w:t>Dot pattern</w:t>
            </w:r>
          </w:p>
        </w:tc>
        <w:tc>
          <w:tcPr>
            <w:tcW w:type="dxa" w:w="1140"/>
          </w:tcPr>
          <w:p>
            <w:pPr>
              <w:spacing w:after="40"/>
            </w:pPr>
            <w:r>
              <w:rPr>
                <w:rFonts w:ascii="Times New Roman" w:hAnsi="Times New Roman"/>
                <w:b w:val="0"/>
                <w:i w:val="0"/>
                <w:sz w:val="20"/>
              </w:rPr>
              <w:t>26.48</w:t>
            </w:r>
          </w:p>
        </w:tc>
        <w:tc>
          <w:tcPr>
            <w:tcW w:type="dxa" w:w="1140"/>
          </w:tcPr>
          <w:p>
            <w:pPr>
              <w:spacing w:after="40"/>
            </w:pPr>
            <w:r>
              <w:rPr>
                <w:rFonts w:ascii="Times New Roman" w:hAnsi="Times New Roman"/>
                <w:b w:val="0"/>
                <w:i w:val="0"/>
                <w:sz w:val="20"/>
              </w:rPr>
              <w:t>187.5</w:t>
            </w:r>
          </w:p>
        </w:tc>
        <w:tc>
          <w:tcPr>
            <w:tcW w:type="dxa" w:w="1140"/>
          </w:tcPr>
          <w:p>
            <w:pPr>
              <w:spacing w:after="40"/>
            </w:pPr>
            <w:r>
              <w:rPr>
                <w:rFonts w:ascii="Times New Roman" w:hAnsi="Times New Roman"/>
                <w:b w:val="0"/>
                <w:i w:val="0"/>
                <w:sz w:val="20"/>
              </w:rPr>
              <w:t>12.73</w:t>
            </w:r>
          </w:p>
        </w:tc>
        <w:tc>
          <w:tcPr>
            <w:tcW w:type="dxa" w:w="1140"/>
          </w:tcPr>
          <w:p>
            <w:pPr>
              <w:spacing w:after="40"/>
            </w:pPr>
            <w:r>
              <w:rPr>
                <w:rFonts w:ascii="Times New Roman" w:hAnsi="Times New Roman"/>
                <w:b w:val="0"/>
                <w:i w:val="0"/>
                <w:sz w:val="20"/>
              </w:rPr>
              <w:t>6.14</w:t>
            </w:r>
          </w:p>
        </w:tc>
        <w:tc>
          <w:tcPr>
            <w:tcW w:type="dxa" w:w="1140"/>
          </w:tcPr>
          <w:p>
            <w:pPr>
              <w:spacing w:after="40"/>
            </w:pPr>
            <w:r>
              <w:rPr>
                <w:rFonts w:ascii="Times New Roman" w:hAnsi="Times New Roman"/>
                <w:b w:val="0"/>
                <w:i w:val="0"/>
                <w:sz w:val="20"/>
              </w:rPr>
              <w:t>39.18</w:t>
            </w:r>
          </w:p>
        </w:tc>
        <w:tc>
          <w:tcPr>
            <w:tcW w:type="dxa" w:w="1140"/>
          </w:tcPr>
          <w:p>
            <w:pPr>
              <w:spacing w:after="40"/>
            </w:pPr>
            <w:r>
              <w:rPr>
                <w:rFonts w:ascii="Times New Roman" w:hAnsi="Times New Roman"/>
                <w:b w:val="0"/>
                <w:i w:val="0"/>
                <w:sz w:val="20"/>
              </w:rPr>
              <w:t>77.7</w:t>
            </w:r>
          </w:p>
        </w:tc>
      </w:tr>
      <w:tr>
        <w:tc>
          <w:tcPr>
            <w:tcW w:type="dxa" w:w="1140"/>
          </w:tcPr>
          <w:p>
            <w:pPr>
              <w:spacing w:after="40"/>
            </w:pPr>
            <w:r>
              <w:rPr>
                <w:rFonts w:ascii="Times New Roman" w:hAnsi="Times New Roman"/>
                <w:b w:val="0"/>
                <w:i w:val="0"/>
                <w:sz w:val="20"/>
              </w:rPr>
              <w:t>M-5C</w:t>
            </w:r>
          </w:p>
        </w:tc>
        <w:tc>
          <w:tcPr>
            <w:tcW w:type="dxa" w:w="1140"/>
          </w:tcPr>
          <w:p>
            <w:pPr>
              <w:spacing w:after="40"/>
            </w:pPr>
            <w:r>
              <w:rPr>
                <w:rFonts w:ascii="Times New Roman" w:hAnsi="Times New Roman"/>
                <w:b w:val="0"/>
                <w:i w:val="0"/>
                <w:sz w:val="20"/>
              </w:rPr>
              <w:t>Coloured glass</w:t>
            </w:r>
          </w:p>
        </w:tc>
        <w:tc>
          <w:tcPr>
            <w:tcW w:type="dxa" w:w="1140"/>
          </w:tcPr>
          <w:p>
            <w:pPr>
              <w:spacing w:after="40"/>
            </w:pPr>
            <w:r>
              <w:rPr>
                <w:rFonts w:ascii="Times New Roman" w:hAnsi="Times New Roman"/>
                <w:b w:val="0"/>
                <w:i w:val="0"/>
                <w:sz w:val="20"/>
              </w:rPr>
              <w:t>26.48</w:t>
            </w:r>
          </w:p>
        </w:tc>
        <w:tc>
          <w:tcPr>
            <w:tcW w:type="dxa" w:w="1140"/>
          </w:tcPr>
          <w:p>
            <w:pPr>
              <w:spacing w:after="40"/>
            </w:pPr>
            <w:r>
              <w:rPr>
                <w:rFonts w:ascii="Times New Roman" w:hAnsi="Times New Roman"/>
                <w:b w:val="0"/>
                <w:i w:val="0"/>
                <w:sz w:val="20"/>
              </w:rPr>
              <w:t>176.6</w:t>
            </w:r>
          </w:p>
        </w:tc>
        <w:tc>
          <w:tcPr>
            <w:tcW w:type="dxa" w:w="1140"/>
          </w:tcPr>
          <w:p>
            <w:pPr>
              <w:spacing w:after="40"/>
            </w:pPr>
            <w:r>
              <w:rPr>
                <w:rFonts w:ascii="Times New Roman" w:hAnsi="Times New Roman"/>
                <w:b w:val="0"/>
                <w:i w:val="0"/>
                <w:sz w:val="20"/>
              </w:rPr>
              <w:t>11.98</w:t>
            </w:r>
          </w:p>
        </w:tc>
        <w:tc>
          <w:tcPr>
            <w:tcW w:type="dxa" w:w="1140"/>
          </w:tcPr>
          <w:p>
            <w:pPr>
              <w:spacing w:after="40"/>
            </w:pPr>
            <w:r>
              <w:rPr>
                <w:rFonts w:ascii="Times New Roman" w:hAnsi="Times New Roman"/>
                <w:b w:val="0"/>
                <w:i w:val="0"/>
                <w:sz w:val="20"/>
              </w:rPr>
              <w:t>5.73</w:t>
            </w:r>
          </w:p>
        </w:tc>
        <w:tc>
          <w:tcPr>
            <w:tcW w:type="dxa" w:w="1140"/>
          </w:tcPr>
          <w:p>
            <w:pPr>
              <w:spacing w:after="40"/>
            </w:pPr>
            <w:r>
              <w:rPr>
                <w:rFonts w:ascii="Times New Roman" w:hAnsi="Times New Roman"/>
                <w:b w:val="0"/>
                <w:i w:val="0"/>
                <w:sz w:val="20"/>
              </w:rPr>
              <w:t>39.18</w:t>
            </w:r>
          </w:p>
        </w:tc>
        <w:tc>
          <w:tcPr>
            <w:tcW w:type="dxa" w:w="1140"/>
          </w:tcPr>
          <w:p>
            <w:pPr>
              <w:spacing w:after="40"/>
            </w:pPr>
            <w:r>
              <w:rPr>
                <w:rFonts w:ascii="Times New Roman" w:hAnsi="Times New Roman"/>
                <w:b w:val="0"/>
                <w:i w:val="0"/>
                <w:sz w:val="20"/>
              </w:rPr>
              <w:t>78.7</w:t>
            </w:r>
          </w:p>
        </w:tc>
      </w:tr>
      <w:tr>
        <w:tc>
          <w:tcPr>
            <w:tcW w:type="dxa" w:w="1140"/>
          </w:tcPr>
          <w:p>
            <w:pPr>
              <w:spacing w:after="40"/>
            </w:pPr>
            <w:r>
              <w:rPr>
                <w:rFonts w:ascii="Times New Roman" w:hAnsi="Times New Roman"/>
                <w:b w:val="0"/>
                <w:i w:val="0"/>
                <w:sz w:val="20"/>
              </w:rPr>
              <w:t>M-8</w:t>
            </w:r>
          </w:p>
        </w:tc>
        <w:tc>
          <w:tcPr>
            <w:tcW w:type="dxa" w:w="1140"/>
          </w:tcPr>
          <w:p>
            <w:pPr>
              <w:spacing w:after="40"/>
            </w:pPr>
            <w:r>
              <w:rPr>
                <w:rFonts w:ascii="Times New Roman" w:hAnsi="Times New Roman"/>
                <w:b w:val="0"/>
                <w:i w:val="0"/>
                <w:sz w:val="20"/>
              </w:rPr>
              <w:t>Large dot pattern</w:t>
            </w:r>
          </w:p>
        </w:tc>
        <w:tc>
          <w:tcPr>
            <w:tcW w:type="dxa" w:w="1140"/>
          </w:tcPr>
          <w:p>
            <w:pPr>
              <w:spacing w:after="40"/>
            </w:pPr>
            <w:r>
              <w:rPr>
                <w:rFonts w:ascii="Times New Roman" w:hAnsi="Times New Roman"/>
                <w:b w:val="0"/>
                <w:i w:val="0"/>
                <w:sz w:val="20"/>
              </w:rPr>
              <w:t>61.51</w:t>
            </w:r>
          </w:p>
        </w:tc>
        <w:tc>
          <w:tcPr>
            <w:tcW w:type="dxa" w:w="1140"/>
          </w:tcPr>
          <w:p>
            <w:pPr>
              <w:spacing w:after="40"/>
            </w:pPr>
            <w:r>
              <w:rPr>
                <w:rFonts w:ascii="Times New Roman" w:hAnsi="Times New Roman"/>
                <w:b w:val="0"/>
                <w:i w:val="0"/>
                <w:sz w:val="20"/>
              </w:rPr>
              <w:t>107.3</w:t>
            </w:r>
          </w:p>
        </w:tc>
        <w:tc>
          <w:tcPr>
            <w:tcW w:type="dxa" w:w="1140"/>
          </w:tcPr>
          <w:p>
            <w:pPr>
              <w:spacing w:after="40"/>
            </w:pPr>
            <w:r>
              <w:rPr>
                <w:rFonts w:ascii="Times New Roman" w:hAnsi="Times New Roman"/>
                <w:b w:val="0"/>
                <w:i w:val="0"/>
                <w:sz w:val="20"/>
              </w:rPr>
              <w:t>7.29</w:t>
            </w:r>
          </w:p>
        </w:tc>
        <w:tc>
          <w:tcPr>
            <w:tcW w:type="dxa" w:w="1140"/>
          </w:tcPr>
          <w:p>
            <w:pPr>
              <w:spacing w:after="40"/>
            </w:pPr>
            <w:r>
              <w:rPr>
                <w:rFonts w:ascii="Times New Roman" w:hAnsi="Times New Roman"/>
                <w:b w:val="0"/>
                <w:i w:val="0"/>
                <w:sz w:val="20"/>
              </w:rPr>
              <w:t>3.37</w:t>
            </w:r>
          </w:p>
        </w:tc>
        <w:tc>
          <w:tcPr>
            <w:tcW w:type="dxa" w:w="1140"/>
          </w:tcPr>
          <w:p>
            <w:pPr>
              <w:spacing w:after="40"/>
            </w:pPr>
            <w:r>
              <w:rPr>
                <w:rFonts w:ascii="Times New Roman" w:hAnsi="Times New Roman"/>
                <w:b w:val="0"/>
                <w:i w:val="0"/>
                <w:sz w:val="20"/>
              </w:rPr>
              <w:t>38.66</w:t>
            </w:r>
          </w:p>
        </w:tc>
        <w:tc>
          <w:tcPr>
            <w:tcW w:type="dxa" w:w="1140"/>
          </w:tcPr>
          <w:p>
            <w:pPr>
              <w:spacing w:after="40"/>
            </w:pPr>
            <w:r>
              <w:rPr>
                <w:rFonts w:ascii="Times New Roman" w:hAnsi="Times New Roman"/>
                <w:b w:val="0"/>
                <w:i w:val="0"/>
                <w:sz w:val="20"/>
              </w:rPr>
              <w:t>82.3</w:t>
            </w:r>
          </w:p>
        </w:tc>
      </w:tr>
      <w:tr>
        <w:tc>
          <w:tcPr>
            <w:tcW w:type="dxa" w:w="1140"/>
          </w:tcPr>
          <w:p>
            <w:pPr>
              <w:spacing w:after="40"/>
            </w:pPr>
            <w:r>
              <w:rPr>
                <w:rFonts w:ascii="Times New Roman" w:hAnsi="Times New Roman"/>
                <w:b w:val="0"/>
                <w:i w:val="0"/>
                <w:sz w:val="20"/>
              </w:rPr>
              <w:t>M-7</w:t>
            </w:r>
          </w:p>
        </w:tc>
        <w:tc>
          <w:tcPr>
            <w:tcW w:type="dxa" w:w="1140"/>
          </w:tcPr>
          <w:p>
            <w:pPr>
              <w:spacing w:after="40"/>
            </w:pPr>
            <w:r>
              <w:rPr>
                <w:rFonts w:ascii="Times New Roman" w:hAnsi="Times New Roman"/>
                <w:b w:val="0"/>
                <w:i w:val="0"/>
                <w:sz w:val="20"/>
              </w:rPr>
              <w:t>Full inkjet print</w:t>
            </w:r>
          </w:p>
        </w:tc>
        <w:tc>
          <w:tcPr>
            <w:tcW w:type="dxa" w:w="1140"/>
          </w:tcPr>
          <w:p>
            <w:pPr>
              <w:spacing w:after="40"/>
            </w:pPr>
            <w:r>
              <w:rPr>
                <w:rFonts w:ascii="Times New Roman" w:hAnsi="Times New Roman"/>
                <w:b w:val="0"/>
                <w:i w:val="0"/>
                <w:sz w:val="20"/>
              </w:rPr>
              <w:t>100.00</w:t>
            </w:r>
          </w:p>
        </w:tc>
        <w:tc>
          <w:tcPr>
            <w:tcW w:type="dxa" w:w="1140"/>
          </w:tcPr>
          <w:p>
            <w:pPr>
              <w:spacing w:after="40"/>
            </w:pPr>
            <w:r>
              <w:rPr>
                <w:rFonts w:ascii="Times New Roman" w:hAnsi="Times New Roman"/>
                <w:b w:val="0"/>
                <w:i w:val="0"/>
                <w:sz w:val="20"/>
              </w:rPr>
              <w:t>28.8</w:t>
            </w:r>
          </w:p>
        </w:tc>
        <w:tc>
          <w:tcPr>
            <w:tcW w:type="dxa" w:w="1140"/>
          </w:tcPr>
          <w:p>
            <w:pPr>
              <w:spacing w:after="40"/>
            </w:pPr>
            <w:r>
              <w:rPr>
                <w:rFonts w:ascii="Times New Roman" w:hAnsi="Times New Roman"/>
                <w:b w:val="0"/>
                <w:i w:val="0"/>
                <w:sz w:val="20"/>
              </w:rPr>
              <w:t>1.95</w:t>
            </w:r>
          </w:p>
        </w:tc>
        <w:tc>
          <w:tcPr>
            <w:tcW w:type="dxa" w:w="1140"/>
          </w:tcPr>
          <w:p>
            <w:pPr>
              <w:spacing w:after="40"/>
            </w:pPr>
            <w:r>
              <w:rPr>
                <w:rFonts w:ascii="Times New Roman" w:hAnsi="Times New Roman"/>
                <w:b w:val="0"/>
                <w:i w:val="0"/>
                <w:sz w:val="20"/>
              </w:rPr>
              <w:t>0.92</w:t>
            </w:r>
          </w:p>
        </w:tc>
        <w:tc>
          <w:tcPr>
            <w:tcW w:type="dxa" w:w="1140"/>
          </w:tcPr>
          <w:p>
            <w:pPr>
              <w:spacing w:after="40"/>
            </w:pPr>
            <w:r>
              <w:rPr>
                <w:rFonts w:ascii="Times New Roman" w:hAnsi="Times New Roman"/>
                <w:b w:val="0"/>
                <w:i w:val="0"/>
                <w:sz w:val="20"/>
              </w:rPr>
              <w:t>36.72</w:t>
            </w:r>
          </w:p>
        </w:tc>
        <w:tc>
          <w:tcPr>
            <w:tcW w:type="dxa" w:w="1140"/>
          </w:tcPr>
          <w:p>
            <w:pPr>
              <w:spacing w:after="40"/>
            </w:pPr>
            <w:r>
              <w:rPr>
                <w:rFonts w:ascii="Times New Roman" w:hAnsi="Times New Roman"/>
                <w:b w:val="0"/>
                <w:i w:val="0"/>
                <w:sz w:val="20"/>
              </w:rPr>
              <w:t>85.1</w:t>
            </w:r>
          </w:p>
        </w:tc>
      </w:tr>
    </w:tbl>
    <w:p/>
    <w:p>
      <w:pPr>
        <w:spacing w:before="40" w:after="160" w:lineRule="exact" w:line="300"/>
      </w:pPr>
      <w:r>
        <w:rPr>
          <w:rFonts w:ascii="Times New Roman" w:hAnsi="Times New Roman"/>
          <w:b w:val="0"/>
          <w:i/>
          <w:sz w:val="20"/>
        </w:rPr>
        <w:t>Table 3. Image descriptors for six pattern configurations.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pPr>
              <w:spacing w:after="40"/>
            </w:pPr>
            <w:r>
              <w:rPr>
                <w:rFonts w:ascii="Times New Roman" w:hAnsi="Times New Roman"/>
                <w:b/>
                <w:i w:val="0"/>
                <w:sz w:val="20"/>
              </w:rPr>
              <w:t>Pattern</w:t>
            </w:r>
          </w:p>
        </w:tc>
        <w:tc>
          <w:tcPr>
            <w:tcW w:type="dxa" w:w="1303"/>
          </w:tcPr>
          <w:p>
            <w:pPr>
              <w:spacing w:after="40"/>
            </w:pPr>
            <w:r>
              <w:rPr>
                <w:rFonts w:ascii="Times New Roman" w:hAnsi="Times New Roman"/>
                <w:b/>
                <w:i w:val="0"/>
                <w:sz w:val="20"/>
              </w:rPr>
              <w:t>Mode</w:t>
            </w:r>
          </w:p>
        </w:tc>
        <w:tc>
          <w:tcPr>
            <w:tcW w:type="dxa" w:w="1303"/>
          </w:tcPr>
          <w:p>
            <w:pPr>
              <w:spacing w:after="40"/>
            </w:pPr>
            <w:r>
              <w:rPr>
                <w:rFonts w:ascii="Times New Roman" w:hAnsi="Times New Roman"/>
                <w:b/>
                <w:i w:val="0"/>
                <w:sz w:val="20"/>
              </w:rPr>
              <w:t>CCR (%)</w:t>
            </w:r>
          </w:p>
        </w:tc>
        <w:tc>
          <w:tcPr>
            <w:tcW w:type="dxa" w:w="1303"/>
          </w:tcPr>
          <w:p>
            <w:pPr>
              <w:spacing w:after="40"/>
            </w:pPr>
            <w:r>
              <w:rPr>
                <w:rFonts w:ascii="Times New Roman" w:hAnsi="Times New Roman"/>
                <w:b/>
                <w:i w:val="0"/>
                <w:sz w:val="20"/>
              </w:rPr>
              <w:t>SF (dots/Mpx)</w:t>
            </w:r>
          </w:p>
        </w:tc>
        <w:tc>
          <w:tcPr>
            <w:tcW w:type="dxa" w:w="1303"/>
          </w:tcPr>
          <w:p>
            <w:pPr>
              <w:spacing w:after="40"/>
            </w:pPr>
            <w:r>
              <w:rPr>
                <w:rFonts w:ascii="Times New Roman" w:hAnsi="Times New Roman"/>
                <w:b/>
                <w:i w:val="0"/>
                <w:sz w:val="20"/>
              </w:rPr>
              <w:t>ED (per kpx)</w:t>
            </w:r>
          </w:p>
        </w:tc>
        <w:tc>
          <w:tcPr>
            <w:tcW w:type="dxa" w:w="1303"/>
          </w:tcPr>
          <w:p>
            <w:pPr>
              <w:spacing w:after="40"/>
            </w:pPr>
            <w:r>
              <w:rPr>
                <w:rFonts w:ascii="Times New Roman" w:hAnsi="Times New Roman"/>
                <w:b/>
                <w:i w:val="0"/>
                <w:sz w:val="20"/>
              </w:rPr>
              <w:t>DSV</w:t>
            </w:r>
          </w:p>
        </w:tc>
        <w:tc>
          <w:tcPr>
            <w:tcW w:type="dxa" w:w="1303"/>
          </w:tcPr>
          <w:p>
            <w:pPr>
              <w:spacing w:after="40"/>
            </w:pPr>
            <w:r>
              <w:rPr>
                <w:rFonts w:ascii="Times New Roman" w:hAnsi="Times New Roman"/>
                <w:b/>
                <w:i w:val="0"/>
                <w:sz w:val="20"/>
              </w:rPr>
              <w:t>PUI (%)</w:t>
            </w:r>
          </w:p>
        </w:tc>
      </w:tr>
      <w:tr>
        <w:tc>
          <w:tcPr>
            <w:tcW w:type="dxa" w:w="1303"/>
          </w:tcPr>
          <w:p>
            <w:pPr>
              <w:spacing w:after="40"/>
            </w:pPr>
            <w:r>
              <w:rPr>
                <w:rFonts w:ascii="Times New Roman" w:hAnsi="Times New Roman"/>
                <w:b w:val="0"/>
                <w:i w:val="0"/>
                <w:sz w:val="20"/>
              </w:rPr>
              <w:t>P1-Heritage</w:t>
            </w:r>
          </w:p>
        </w:tc>
        <w:tc>
          <w:tcPr>
            <w:tcW w:type="dxa" w:w="1303"/>
          </w:tcPr>
          <w:p>
            <w:pPr>
              <w:spacing w:after="40"/>
            </w:pPr>
            <w:r>
              <w:rPr>
                <w:rFonts w:ascii="Times New Roman" w:hAnsi="Times New Roman"/>
                <w:b w:val="0"/>
                <w:i w:val="0"/>
                <w:sz w:val="20"/>
              </w:rPr>
              <w:t>Energy</w:t>
            </w:r>
          </w:p>
        </w:tc>
        <w:tc>
          <w:tcPr>
            <w:tcW w:type="dxa" w:w="1303"/>
          </w:tcPr>
          <w:p>
            <w:pPr>
              <w:spacing w:after="40"/>
            </w:pPr>
            <w:r>
              <w:rPr>
                <w:rFonts w:ascii="Times New Roman" w:hAnsi="Times New Roman"/>
                <w:b w:val="0"/>
                <w:i w:val="0"/>
                <w:sz w:val="20"/>
              </w:rPr>
              <w:t>14.6</w:t>
            </w:r>
          </w:p>
        </w:tc>
        <w:tc>
          <w:tcPr>
            <w:tcW w:type="dxa" w:w="1303"/>
          </w:tcPr>
          <w:p>
            <w:pPr>
              <w:spacing w:after="40"/>
            </w:pPr>
            <w:r>
              <w:rPr>
                <w:rFonts w:ascii="Times New Roman" w:hAnsi="Times New Roman"/>
                <w:b w:val="0"/>
                <w:i w:val="0"/>
                <w:sz w:val="20"/>
              </w:rPr>
              <w:t>1210</w:t>
            </w:r>
          </w:p>
        </w:tc>
        <w:tc>
          <w:tcPr>
            <w:tcW w:type="dxa" w:w="1303"/>
          </w:tcPr>
          <w:p>
            <w:pPr>
              <w:spacing w:after="40"/>
            </w:pPr>
            <w:r>
              <w:rPr>
                <w:rFonts w:ascii="Times New Roman" w:hAnsi="Times New Roman"/>
                <w:b w:val="0"/>
                <w:i w:val="0"/>
                <w:sz w:val="20"/>
              </w:rPr>
              <w:t>42.31</w:t>
            </w:r>
          </w:p>
        </w:tc>
        <w:tc>
          <w:tcPr>
            <w:tcW w:type="dxa" w:w="1303"/>
          </w:tcPr>
          <w:p>
            <w:pPr>
              <w:spacing w:after="40"/>
            </w:pPr>
            <w:r>
              <w:rPr>
                <w:rFonts w:ascii="Times New Roman" w:hAnsi="Times New Roman"/>
                <w:b w:val="0"/>
                <w:i w:val="0"/>
                <w:sz w:val="20"/>
              </w:rPr>
              <w:t>0.528</w:t>
            </w:r>
          </w:p>
        </w:tc>
        <w:tc>
          <w:tcPr>
            <w:tcW w:type="dxa" w:w="1303"/>
          </w:tcPr>
          <w:p>
            <w:pPr>
              <w:spacing w:after="40"/>
            </w:pPr>
            <w:r>
              <w:rPr>
                <w:rFonts w:ascii="Times New Roman" w:hAnsi="Times New Roman"/>
                <w:b w:val="0"/>
                <w:i w:val="0"/>
                <w:sz w:val="20"/>
              </w:rPr>
              <w:t>28.7</w:t>
            </w:r>
          </w:p>
        </w:tc>
      </w:tr>
      <w:tr>
        <w:tc>
          <w:tcPr>
            <w:tcW w:type="dxa" w:w="1303"/>
          </w:tcPr>
          <w:p>
            <w:pPr>
              <w:spacing w:after="40"/>
            </w:pPr>
            <w:r>
              <w:rPr>
                <w:rFonts w:ascii="Times New Roman" w:hAnsi="Times New Roman"/>
                <w:b w:val="0"/>
                <w:i w:val="0"/>
                <w:sz w:val="20"/>
              </w:rPr>
              <w:t>P2-Modern</w:t>
            </w:r>
          </w:p>
        </w:tc>
        <w:tc>
          <w:tcPr>
            <w:tcW w:type="dxa" w:w="1303"/>
          </w:tcPr>
          <w:p>
            <w:pPr>
              <w:spacing w:after="40"/>
            </w:pPr>
            <w:r>
              <w:rPr>
                <w:rFonts w:ascii="Times New Roman" w:hAnsi="Times New Roman"/>
                <w:b w:val="0"/>
                <w:i w:val="0"/>
                <w:sz w:val="20"/>
              </w:rPr>
              <w:t>Energy</w:t>
            </w:r>
          </w:p>
        </w:tc>
        <w:tc>
          <w:tcPr>
            <w:tcW w:type="dxa" w:w="1303"/>
          </w:tcPr>
          <w:p>
            <w:pPr>
              <w:spacing w:after="40"/>
            </w:pPr>
            <w:r>
              <w:rPr>
                <w:rFonts w:ascii="Times New Roman" w:hAnsi="Times New Roman"/>
                <w:b w:val="0"/>
                <w:i w:val="0"/>
                <w:sz w:val="20"/>
              </w:rPr>
              <w:t>6.2</w:t>
            </w:r>
          </w:p>
        </w:tc>
        <w:tc>
          <w:tcPr>
            <w:tcW w:type="dxa" w:w="1303"/>
          </w:tcPr>
          <w:p>
            <w:pPr>
              <w:spacing w:after="40"/>
            </w:pPr>
            <w:r>
              <w:rPr>
                <w:rFonts w:ascii="Times New Roman" w:hAnsi="Times New Roman"/>
                <w:b w:val="0"/>
                <w:i w:val="0"/>
                <w:sz w:val="20"/>
              </w:rPr>
              <w:t>1420</w:t>
            </w:r>
          </w:p>
        </w:tc>
        <w:tc>
          <w:tcPr>
            <w:tcW w:type="dxa" w:w="1303"/>
          </w:tcPr>
          <w:p>
            <w:pPr>
              <w:spacing w:after="40"/>
            </w:pPr>
            <w:r>
              <w:rPr>
                <w:rFonts w:ascii="Times New Roman" w:hAnsi="Times New Roman"/>
                <w:b w:val="0"/>
                <w:i w:val="0"/>
                <w:sz w:val="20"/>
              </w:rPr>
              <w:t>25.50</w:t>
            </w:r>
          </w:p>
        </w:tc>
        <w:tc>
          <w:tcPr>
            <w:tcW w:type="dxa" w:w="1303"/>
          </w:tcPr>
          <w:p>
            <w:pPr>
              <w:spacing w:after="40"/>
            </w:pPr>
            <w:r>
              <w:rPr>
                <w:rFonts w:ascii="Times New Roman" w:hAnsi="Times New Roman"/>
                <w:b w:val="0"/>
                <w:i w:val="0"/>
                <w:sz w:val="20"/>
              </w:rPr>
              <w:t>0.887</w:t>
            </w:r>
          </w:p>
        </w:tc>
        <w:tc>
          <w:tcPr>
            <w:tcW w:type="dxa" w:w="1303"/>
          </w:tcPr>
          <w:p>
            <w:pPr>
              <w:spacing w:after="40"/>
            </w:pPr>
            <w:r>
              <w:rPr>
                <w:rFonts w:ascii="Times New Roman" w:hAnsi="Times New Roman"/>
                <w:b w:val="0"/>
                <w:i w:val="0"/>
                <w:sz w:val="20"/>
              </w:rPr>
              <w:t>44.0</w:t>
            </w:r>
          </w:p>
        </w:tc>
      </w:tr>
      <w:tr>
        <w:tc>
          <w:tcPr>
            <w:tcW w:type="dxa" w:w="1303"/>
          </w:tcPr>
          <w:p>
            <w:pPr>
              <w:spacing w:after="40"/>
            </w:pPr>
            <w:r>
              <w:rPr>
                <w:rFonts w:ascii="Times New Roman" w:hAnsi="Times New Roman"/>
                <w:b w:val="0"/>
                <w:i w:val="0"/>
                <w:sz w:val="20"/>
              </w:rPr>
              <w:t>P3-Nature</w:t>
            </w:r>
          </w:p>
        </w:tc>
        <w:tc>
          <w:tcPr>
            <w:tcW w:type="dxa" w:w="1303"/>
          </w:tcPr>
          <w:p>
            <w:pPr>
              <w:spacing w:after="40"/>
            </w:pPr>
            <w:r>
              <w:rPr>
                <w:rFonts w:ascii="Times New Roman" w:hAnsi="Times New Roman"/>
                <w:b w:val="0"/>
                <w:i w:val="0"/>
                <w:sz w:val="20"/>
              </w:rPr>
              <w:t>Energy</w:t>
            </w:r>
          </w:p>
        </w:tc>
        <w:tc>
          <w:tcPr>
            <w:tcW w:type="dxa" w:w="1303"/>
          </w:tcPr>
          <w:p>
            <w:pPr>
              <w:spacing w:after="40"/>
            </w:pPr>
            <w:r>
              <w:rPr>
                <w:rFonts w:ascii="Times New Roman" w:hAnsi="Times New Roman"/>
                <w:b w:val="0"/>
                <w:i w:val="0"/>
                <w:sz w:val="20"/>
              </w:rPr>
              <w:t>13.3</w:t>
            </w:r>
          </w:p>
        </w:tc>
        <w:tc>
          <w:tcPr>
            <w:tcW w:type="dxa" w:w="1303"/>
          </w:tcPr>
          <w:p>
            <w:pPr>
              <w:spacing w:after="40"/>
            </w:pPr>
            <w:r>
              <w:rPr>
                <w:rFonts w:ascii="Times New Roman" w:hAnsi="Times New Roman"/>
                <w:b w:val="0"/>
                <w:i w:val="0"/>
                <w:sz w:val="20"/>
              </w:rPr>
              <w:t>4212</w:t>
            </w:r>
          </w:p>
        </w:tc>
        <w:tc>
          <w:tcPr>
            <w:tcW w:type="dxa" w:w="1303"/>
          </w:tcPr>
          <w:p>
            <w:pPr>
              <w:spacing w:after="40"/>
            </w:pPr>
            <w:r>
              <w:rPr>
                <w:rFonts w:ascii="Times New Roman" w:hAnsi="Times New Roman"/>
                <w:b w:val="0"/>
                <w:i w:val="0"/>
                <w:sz w:val="20"/>
              </w:rPr>
              <w:t>65.18</w:t>
            </w:r>
          </w:p>
        </w:tc>
        <w:tc>
          <w:tcPr>
            <w:tcW w:type="dxa" w:w="1303"/>
          </w:tcPr>
          <w:p>
            <w:pPr>
              <w:spacing w:after="40"/>
            </w:pPr>
            <w:r>
              <w:rPr>
                <w:rFonts w:ascii="Times New Roman" w:hAnsi="Times New Roman"/>
                <w:b w:val="0"/>
                <w:i w:val="0"/>
                <w:sz w:val="20"/>
              </w:rPr>
              <w:t>0.672</w:t>
            </w:r>
          </w:p>
        </w:tc>
        <w:tc>
          <w:tcPr>
            <w:tcW w:type="dxa" w:w="1303"/>
          </w:tcPr>
          <w:p>
            <w:pPr>
              <w:spacing w:after="40"/>
            </w:pPr>
            <w:r>
              <w:rPr>
                <w:rFonts w:ascii="Times New Roman" w:hAnsi="Times New Roman"/>
                <w:b w:val="0"/>
                <w:i w:val="0"/>
                <w:sz w:val="20"/>
              </w:rPr>
              <w:t>33.3</w:t>
            </w:r>
          </w:p>
        </w:tc>
      </w:tr>
      <w:tr>
        <w:tc>
          <w:tcPr>
            <w:tcW w:type="dxa" w:w="1303"/>
          </w:tcPr>
          <w:p>
            <w:pPr>
              <w:spacing w:after="40"/>
            </w:pPr>
            <w:r>
              <w:rPr>
                <w:rFonts w:ascii="Times New Roman" w:hAnsi="Times New Roman"/>
                <w:b w:val="0"/>
                <w:i w:val="0"/>
                <w:sz w:val="20"/>
              </w:rPr>
              <w:t>P1-Heritage</w:t>
            </w:r>
          </w:p>
        </w:tc>
        <w:tc>
          <w:tcPr>
            <w:tcW w:type="dxa" w:w="1303"/>
          </w:tcPr>
          <w:p>
            <w:pPr>
              <w:spacing w:after="40"/>
            </w:pPr>
            <w:r>
              <w:rPr>
                <w:rFonts w:ascii="Times New Roman" w:hAnsi="Times New Roman"/>
                <w:b w:val="0"/>
                <w:i w:val="0"/>
                <w:sz w:val="20"/>
              </w:rPr>
              <w:t>Graphic</w:t>
            </w:r>
          </w:p>
        </w:tc>
        <w:tc>
          <w:tcPr>
            <w:tcW w:type="dxa" w:w="1303"/>
          </w:tcPr>
          <w:p>
            <w:pPr>
              <w:spacing w:after="40"/>
            </w:pPr>
            <w:r>
              <w:rPr>
                <w:rFonts w:ascii="Times New Roman" w:hAnsi="Times New Roman"/>
                <w:b w:val="0"/>
                <w:i w:val="0"/>
                <w:sz w:val="20"/>
              </w:rPr>
              <w:t>31.3</w:t>
            </w:r>
          </w:p>
        </w:tc>
        <w:tc>
          <w:tcPr>
            <w:tcW w:type="dxa" w:w="1303"/>
          </w:tcPr>
          <w:p>
            <w:pPr>
              <w:spacing w:after="40"/>
            </w:pPr>
            <w:r>
              <w:rPr>
                <w:rFonts w:ascii="Times New Roman" w:hAnsi="Times New Roman"/>
                <w:b w:val="0"/>
                <w:i w:val="0"/>
                <w:sz w:val="20"/>
              </w:rPr>
              <w:t>1059</w:t>
            </w:r>
          </w:p>
        </w:tc>
        <w:tc>
          <w:tcPr>
            <w:tcW w:type="dxa" w:w="1303"/>
          </w:tcPr>
          <w:p>
            <w:pPr>
              <w:spacing w:after="40"/>
            </w:pPr>
            <w:r>
              <w:rPr>
                <w:rFonts w:ascii="Times New Roman" w:hAnsi="Times New Roman"/>
                <w:b w:val="0"/>
                <w:i w:val="0"/>
                <w:sz w:val="20"/>
              </w:rPr>
              <w:t>63.24</w:t>
            </w:r>
          </w:p>
        </w:tc>
        <w:tc>
          <w:tcPr>
            <w:tcW w:type="dxa" w:w="1303"/>
          </w:tcPr>
          <w:p>
            <w:pPr>
              <w:spacing w:after="40"/>
            </w:pPr>
            <w:r>
              <w:rPr>
                <w:rFonts w:ascii="Times New Roman" w:hAnsi="Times New Roman"/>
                <w:b w:val="0"/>
                <w:i w:val="0"/>
                <w:sz w:val="20"/>
              </w:rPr>
              <w:t>0.534</w:t>
            </w:r>
          </w:p>
        </w:tc>
        <w:tc>
          <w:tcPr>
            <w:tcW w:type="dxa" w:w="1303"/>
          </w:tcPr>
          <w:p>
            <w:pPr>
              <w:spacing w:after="40"/>
            </w:pPr>
            <w:r>
              <w:rPr>
                <w:rFonts w:ascii="Times New Roman" w:hAnsi="Times New Roman"/>
                <w:b w:val="0"/>
                <w:i w:val="0"/>
                <w:sz w:val="20"/>
              </w:rPr>
              <w:t>25.7</w:t>
            </w:r>
          </w:p>
        </w:tc>
      </w:tr>
      <w:tr>
        <w:tc>
          <w:tcPr>
            <w:tcW w:type="dxa" w:w="1303"/>
          </w:tcPr>
          <w:p>
            <w:pPr>
              <w:spacing w:after="40"/>
            </w:pPr>
            <w:r>
              <w:rPr>
                <w:rFonts w:ascii="Times New Roman" w:hAnsi="Times New Roman"/>
                <w:b w:val="0"/>
                <w:i w:val="0"/>
                <w:sz w:val="20"/>
              </w:rPr>
              <w:t>P2-Modern</w:t>
            </w:r>
          </w:p>
        </w:tc>
        <w:tc>
          <w:tcPr>
            <w:tcW w:type="dxa" w:w="1303"/>
          </w:tcPr>
          <w:p>
            <w:pPr>
              <w:spacing w:after="40"/>
            </w:pPr>
            <w:r>
              <w:rPr>
                <w:rFonts w:ascii="Times New Roman" w:hAnsi="Times New Roman"/>
                <w:b w:val="0"/>
                <w:i w:val="0"/>
                <w:sz w:val="20"/>
              </w:rPr>
              <w:t>Graphic</w:t>
            </w:r>
          </w:p>
        </w:tc>
        <w:tc>
          <w:tcPr>
            <w:tcW w:type="dxa" w:w="1303"/>
          </w:tcPr>
          <w:p>
            <w:pPr>
              <w:spacing w:after="40"/>
            </w:pPr>
            <w:r>
              <w:rPr>
                <w:rFonts w:ascii="Times New Roman" w:hAnsi="Times New Roman"/>
                <w:b w:val="0"/>
                <w:i w:val="0"/>
                <w:sz w:val="20"/>
              </w:rPr>
              <w:t>13.1</w:t>
            </w:r>
          </w:p>
        </w:tc>
        <w:tc>
          <w:tcPr>
            <w:tcW w:type="dxa" w:w="1303"/>
          </w:tcPr>
          <w:p>
            <w:pPr>
              <w:spacing w:after="40"/>
            </w:pPr>
            <w:r>
              <w:rPr>
                <w:rFonts w:ascii="Times New Roman" w:hAnsi="Times New Roman"/>
                <w:b w:val="0"/>
                <w:i w:val="0"/>
                <w:sz w:val="20"/>
              </w:rPr>
              <w:t>1387</w:t>
            </w:r>
          </w:p>
        </w:tc>
        <w:tc>
          <w:tcPr>
            <w:tcW w:type="dxa" w:w="1303"/>
          </w:tcPr>
          <w:p>
            <w:pPr>
              <w:spacing w:after="40"/>
            </w:pPr>
            <w:r>
              <w:rPr>
                <w:rFonts w:ascii="Times New Roman" w:hAnsi="Times New Roman"/>
                <w:b w:val="0"/>
                <w:i w:val="0"/>
                <w:sz w:val="20"/>
              </w:rPr>
              <w:t>44.58</w:t>
            </w:r>
          </w:p>
        </w:tc>
        <w:tc>
          <w:tcPr>
            <w:tcW w:type="dxa" w:w="1303"/>
          </w:tcPr>
          <w:p>
            <w:pPr>
              <w:spacing w:after="40"/>
            </w:pPr>
            <w:r>
              <w:rPr>
                <w:rFonts w:ascii="Times New Roman" w:hAnsi="Times New Roman"/>
                <w:b w:val="0"/>
                <w:i w:val="0"/>
                <w:sz w:val="20"/>
              </w:rPr>
              <w:t>0.525</w:t>
            </w:r>
          </w:p>
        </w:tc>
        <w:tc>
          <w:tcPr>
            <w:tcW w:type="dxa" w:w="1303"/>
          </w:tcPr>
          <w:p>
            <w:pPr>
              <w:spacing w:after="40"/>
            </w:pPr>
            <w:r>
              <w:rPr>
                <w:rFonts w:ascii="Times New Roman" w:hAnsi="Times New Roman"/>
                <w:b w:val="0"/>
                <w:i w:val="0"/>
                <w:sz w:val="20"/>
              </w:rPr>
              <w:t>21.5</w:t>
            </w:r>
          </w:p>
        </w:tc>
      </w:tr>
      <w:tr>
        <w:tc>
          <w:tcPr>
            <w:tcW w:type="dxa" w:w="1303"/>
          </w:tcPr>
          <w:p>
            <w:pPr>
              <w:spacing w:after="40"/>
            </w:pPr>
            <w:r>
              <w:rPr>
                <w:rFonts w:ascii="Times New Roman" w:hAnsi="Times New Roman"/>
                <w:b w:val="0"/>
                <w:i w:val="0"/>
                <w:sz w:val="20"/>
              </w:rPr>
              <w:t>P3-Nature</w:t>
            </w:r>
          </w:p>
        </w:tc>
        <w:tc>
          <w:tcPr>
            <w:tcW w:type="dxa" w:w="1303"/>
          </w:tcPr>
          <w:p>
            <w:pPr>
              <w:spacing w:after="40"/>
            </w:pPr>
            <w:r>
              <w:rPr>
                <w:rFonts w:ascii="Times New Roman" w:hAnsi="Times New Roman"/>
                <w:b w:val="0"/>
                <w:i w:val="0"/>
                <w:sz w:val="20"/>
              </w:rPr>
              <w:t>Graphic</w:t>
            </w:r>
          </w:p>
        </w:tc>
        <w:tc>
          <w:tcPr>
            <w:tcW w:type="dxa" w:w="1303"/>
          </w:tcPr>
          <w:p>
            <w:pPr>
              <w:spacing w:after="40"/>
            </w:pPr>
            <w:r>
              <w:rPr>
                <w:rFonts w:ascii="Times New Roman" w:hAnsi="Times New Roman"/>
                <w:b w:val="0"/>
                <w:i w:val="0"/>
                <w:sz w:val="20"/>
              </w:rPr>
              <w:t>38.9</w:t>
            </w:r>
          </w:p>
        </w:tc>
        <w:tc>
          <w:tcPr>
            <w:tcW w:type="dxa" w:w="1303"/>
          </w:tcPr>
          <w:p>
            <w:pPr>
              <w:spacing w:after="40"/>
            </w:pPr>
            <w:r>
              <w:rPr>
                <w:rFonts w:ascii="Times New Roman" w:hAnsi="Times New Roman"/>
                <w:b w:val="0"/>
                <w:i w:val="0"/>
                <w:sz w:val="20"/>
              </w:rPr>
              <w:t>1956</w:t>
            </w:r>
          </w:p>
        </w:tc>
        <w:tc>
          <w:tcPr>
            <w:tcW w:type="dxa" w:w="1303"/>
          </w:tcPr>
          <w:p>
            <w:pPr>
              <w:spacing w:after="40"/>
            </w:pPr>
            <w:r>
              <w:rPr>
                <w:rFonts w:ascii="Times New Roman" w:hAnsi="Times New Roman"/>
                <w:b w:val="0"/>
                <w:i w:val="0"/>
                <w:sz w:val="20"/>
              </w:rPr>
              <w:t>109.58</w:t>
            </w:r>
          </w:p>
        </w:tc>
        <w:tc>
          <w:tcPr>
            <w:tcW w:type="dxa" w:w="1303"/>
          </w:tcPr>
          <w:p>
            <w:pPr>
              <w:spacing w:after="40"/>
            </w:pPr>
            <w:r>
              <w:rPr>
                <w:rFonts w:ascii="Times New Roman" w:hAnsi="Times New Roman"/>
                <w:b w:val="0"/>
                <w:i w:val="0"/>
                <w:sz w:val="20"/>
              </w:rPr>
              <w:t>0.881</w:t>
            </w:r>
          </w:p>
        </w:tc>
        <w:tc>
          <w:tcPr>
            <w:tcW w:type="dxa" w:w="1303"/>
          </w:tcPr>
          <w:p>
            <w:pPr>
              <w:spacing w:after="40"/>
            </w:pPr>
            <w:r>
              <w:rPr>
                <w:rFonts w:ascii="Times New Roman" w:hAnsi="Times New Roman"/>
                <w:b w:val="0"/>
                <w:i w:val="0"/>
                <w:sz w:val="20"/>
              </w:rPr>
              <w:t>9.8</w:t>
            </w:r>
          </w:p>
        </w:tc>
      </w:tr>
    </w:tbl>
    <w:p/>
    <w:p>
      <w:pPr>
        <w:spacing w:before="40" w:after="160" w:lineRule="exact" w:line="300"/>
      </w:pPr>
      <w:r>
        <w:rPr>
          <w:rFonts w:ascii="Times New Roman" w:hAnsi="Times New Roman"/>
          <w:b w:val="0"/>
          <w:i/>
          <w:sz w:val="20"/>
        </w:rPr>
        <w:t>Table 4. Effective shading coefficient α per module.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after="40"/>
            </w:pPr>
            <w:r>
              <w:rPr>
                <w:rFonts w:ascii="Times New Roman" w:hAnsi="Times New Roman"/>
                <w:b/>
                <w:i w:val="0"/>
                <w:sz w:val="20"/>
              </w:rPr>
              <w:t>Module</w:t>
            </w:r>
          </w:p>
        </w:tc>
        <w:tc>
          <w:tcPr>
            <w:tcW w:type="dxa" w:w="1824"/>
          </w:tcPr>
          <w:p>
            <w:pPr>
              <w:spacing w:after="40"/>
            </w:pPr>
            <w:r>
              <w:rPr>
                <w:rFonts w:ascii="Times New Roman" w:hAnsi="Times New Roman"/>
                <w:b/>
                <w:i w:val="0"/>
                <w:sz w:val="20"/>
              </w:rPr>
              <w:t>Method</w:t>
            </w:r>
          </w:p>
        </w:tc>
        <w:tc>
          <w:tcPr>
            <w:tcW w:type="dxa" w:w="1824"/>
          </w:tcPr>
          <w:p>
            <w:pPr>
              <w:spacing w:after="40"/>
            </w:pPr>
            <w:r>
              <w:rPr>
                <w:rFonts w:ascii="Times New Roman" w:hAnsi="Times New Roman"/>
                <w:b/>
                <w:i w:val="0"/>
                <w:sz w:val="20"/>
              </w:rPr>
              <w:t>CCR (%)</w:t>
            </w:r>
          </w:p>
        </w:tc>
        <w:tc>
          <w:tcPr>
            <w:tcW w:type="dxa" w:w="1824"/>
          </w:tcPr>
          <w:p>
            <w:pPr>
              <w:spacing w:after="40"/>
            </w:pPr>
            <w:r>
              <w:rPr>
                <w:rFonts w:ascii="Times New Roman" w:hAnsi="Times New Roman"/>
                <w:b/>
                <w:i w:val="0"/>
                <w:sz w:val="20"/>
              </w:rPr>
              <w:t>Isc (A)</w:t>
            </w:r>
          </w:p>
        </w:tc>
        <w:tc>
          <w:tcPr>
            <w:tcW w:type="dxa" w:w="1824"/>
          </w:tcPr>
          <w:p>
            <w:pPr>
              <w:spacing w:after="40"/>
            </w:pPr>
            <w:r>
              <w:rPr>
                <w:rFonts w:ascii="Times New Roman" w:hAnsi="Times New Roman"/>
                <w:b/>
                <w:i w:val="0"/>
                <w:sz w:val="20"/>
              </w:rPr>
              <w:t>α</w:t>
            </w:r>
          </w:p>
        </w:tc>
      </w:tr>
      <w:tr>
        <w:tc>
          <w:tcPr>
            <w:tcW w:type="dxa" w:w="1824"/>
          </w:tcPr>
          <w:p>
            <w:pPr>
              <w:spacing w:after="40"/>
            </w:pPr>
            <w:r>
              <w:rPr>
                <w:rFonts w:ascii="Times New Roman" w:hAnsi="Times New Roman"/>
                <w:b w:val="0"/>
                <w:i w:val="0"/>
                <w:sz w:val="20"/>
              </w:rPr>
              <w:t>M-1</w:t>
            </w:r>
          </w:p>
        </w:tc>
        <w:tc>
          <w:tcPr>
            <w:tcW w:type="dxa" w:w="1824"/>
          </w:tcPr>
          <w:p>
            <w:pPr>
              <w:spacing w:after="40"/>
            </w:pPr>
            <w:r>
              <w:rPr>
                <w:rFonts w:ascii="Times New Roman" w:hAnsi="Times New Roman"/>
                <w:b w:val="0"/>
                <w:i w:val="0"/>
                <w:sz w:val="20"/>
              </w:rPr>
              <w:t>Dot pattern</w:t>
            </w:r>
          </w:p>
        </w:tc>
        <w:tc>
          <w:tcPr>
            <w:tcW w:type="dxa" w:w="1824"/>
          </w:tcPr>
          <w:p>
            <w:pPr>
              <w:spacing w:after="40"/>
            </w:pPr>
            <w:r>
              <w:rPr>
                <w:rFonts w:ascii="Times New Roman" w:hAnsi="Times New Roman"/>
                <w:b w:val="0"/>
                <w:i w:val="0"/>
                <w:sz w:val="20"/>
              </w:rPr>
              <w:t>26.48</w:t>
            </w:r>
          </w:p>
        </w:tc>
        <w:tc>
          <w:tcPr>
            <w:tcW w:type="dxa" w:w="1824"/>
          </w:tcPr>
          <w:p>
            <w:pPr>
              <w:spacing w:after="40"/>
            </w:pPr>
            <w:r>
              <w:rPr>
                <w:rFonts w:ascii="Times New Roman" w:hAnsi="Times New Roman"/>
                <w:b w:val="0"/>
                <w:i w:val="0"/>
                <w:sz w:val="20"/>
              </w:rPr>
              <w:t>6.61</w:t>
            </w:r>
          </w:p>
        </w:tc>
        <w:tc>
          <w:tcPr>
            <w:tcW w:type="dxa" w:w="1824"/>
          </w:tcPr>
          <w:p>
            <w:pPr>
              <w:spacing w:after="40"/>
            </w:pPr>
            <w:r>
              <w:rPr>
                <w:rFonts w:ascii="Times New Roman" w:hAnsi="Times New Roman"/>
                <w:b w:val="0"/>
                <w:i w:val="0"/>
                <w:sz w:val="20"/>
              </w:rPr>
              <w:t>0.676</w:t>
            </w:r>
          </w:p>
        </w:tc>
      </w:tr>
      <w:tr>
        <w:tc>
          <w:tcPr>
            <w:tcW w:type="dxa" w:w="1824"/>
          </w:tcPr>
          <w:p>
            <w:pPr>
              <w:spacing w:after="40"/>
            </w:pPr>
            <w:r>
              <w:rPr>
                <w:rFonts w:ascii="Times New Roman" w:hAnsi="Times New Roman"/>
                <w:b w:val="0"/>
                <w:i w:val="0"/>
                <w:sz w:val="20"/>
              </w:rPr>
              <w:t>M-9</w:t>
            </w:r>
          </w:p>
        </w:tc>
        <w:tc>
          <w:tcPr>
            <w:tcW w:type="dxa" w:w="1824"/>
          </w:tcPr>
          <w:p>
            <w:pPr>
              <w:spacing w:after="40"/>
            </w:pPr>
            <w:r>
              <w:rPr>
                <w:rFonts w:ascii="Times New Roman" w:hAnsi="Times New Roman"/>
                <w:b w:val="0"/>
                <w:i w:val="0"/>
                <w:sz w:val="20"/>
              </w:rPr>
              <w:t>Dot pattern</w:t>
            </w:r>
          </w:p>
        </w:tc>
        <w:tc>
          <w:tcPr>
            <w:tcW w:type="dxa" w:w="1824"/>
          </w:tcPr>
          <w:p>
            <w:pPr>
              <w:spacing w:after="40"/>
            </w:pPr>
            <w:r>
              <w:rPr>
                <w:rFonts w:ascii="Times New Roman" w:hAnsi="Times New Roman"/>
                <w:b w:val="0"/>
                <w:i w:val="0"/>
                <w:sz w:val="20"/>
              </w:rPr>
              <w:t>26.48</w:t>
            </w:r>
          </w:p>
        </w:tc>
        <w:tc>
          <w:tcPr>
            <w:tcW w:type="dxa" w:w="1824"/>
          </w:tcPr>
          <w:p>
            <w:pPr>
              <w:spacing w:after="40"/>
            </w:pPr>
            <w:r>
              <w:rPr>
                <w:rFonts w:ascii="Times New Roman" w:hAnsi="Times New Roman"/>
                <w:b w:val="0"/>
                <w:i w:val="0"/>
                <w:sz w:val="20"/>
              </w:rPr>
              <w:t>6.44</w:t>
            </w:r>
          </w:p>
        </w:tc>
        <w:tc>
          <w:tcPr>
            <w:tcW w:type="dxa" w:w="1824"/>
          </w:tcPr>
          <w:p>
            <w:pPr>
              <w:spacing w:after="40"/>
            </w:pPr>
            <w:r>
              <w:rPr>
                <w:rFonts w:ascii="Times New Roman" w:hAnsi="Times New Roman"/>
                <w:b w:val="0"/>
                <w:i w:val="0"/>
                <w:sz w:val="20"/>
              </w:rPr>
              <w:t>0.755</w:t>
            </w:r>
          </w:p>
        </w:tc>
      </w:tr>
      <w:tr>
        <w:tc>
          <w:tcPr>
            <w:tcW w:type="dxa" w:w="1824"/>
          </w:tcPr>
          <w:p>
            <w:pPr>
              <w:spacing w:after="40"/>
            </w:pPr>
            <w:r>
              <w:rPr>
                <w:rFonts w:ascii="Times New Roman" w:hAnsi="Times New Roman"/>
                <w:b w:val="0"/>
                <w:i w:val="0"/>
                <w:sz w:val="20"/>
              </w:rPr>
              <w:t>M-3</w:t>
            </w:r>
          </w:p>
        </w:tc>
        <w:tc>
          <w:tcPr>
            <w:tcW w:type="dxa" w:w="1824"/>
          </w:tcPr>
          <w:p>
            <w:pPr>
              <w:spacing w:after="40"/>
            </w:pPr>
            <w:r>
              <w:rPr>
                <w:rFonts w:ascii="Times New Roman" w:hAnsi="Times New Roman"/>
                <w:b w:val="0"/>
                <w:i w:val="0"/>
                <w:sz w:val="20"/>
              </w:rPr>
              <w:t>Dot pattern</w:t>
            </w:r>
          </w:p>
        </w:tc>
        <w:tc>
          <w:tcPr>
            <w:tcW w:type="dxa" w:w="1824"/>
          </w:tcPr>
          <w:p>
            <w:pPr>
              <w:spacing w:after="40"/>
            </w:pPr>
            <w:r>
              <w:rPr>
                <w:rFonts w:ascii="Times New Roman" w:hAnsi="Times New Roman"/>
                <w:b w:val="0"/>
                <w:i w:val="0"/>
                <w:sz w:val="20"/>
              </w:rPr>
              <w:t>18.66</w:t>
            </w:r>
          </w:p>
        </w:tc>
        <w:tc>
          <w:tcPr>
            <w:tcW w:type="dxa" w:w="1824"/>
          </w:tcPr>
          <w:p>
            <w:pPr>
              <w:spacing w:after="40"/>
            </w:pPr>
            <w:r>
              <w:rPr>
                <w:rFonts w:ascii="Times New Roman" w:hAnsi="Times New Roman"/>
                <w:b w:val="0"/>
                <w:i w:val="0"/>
                <w:sz w:val="20"/>
              </w:rPr>
              <w:t>6.96</w:t>
            </w:r>
          </w:p>
        </w:tc>
        <w:tc>
          <w:tcPr>
            <w:tcW w:type="dxa" w:w="1824"/>
          </w:tcPr>
          <w:p>
            <w:pPr>
              <w:spacing w:after="40"/>
            </w:pPr>
            <w:r>
              <w:rPr>
                <w:rFonts w:ascii="Times New Roman" w:hAnsi="Times New Roman"/>
                <w:b w:val="0"/>
                <w:i w:val="0"/>
                <w:sz w:val="20"/>
              </w:rPr>
              <w:t>0.726</w:t>
            </w:r>
          </w:p>
        </w:tc>
      </w:tr>
      <w:tr>
        <w:tc>
          <w:tcPr>
            <w:tcW w:type="dxa" w:w="1824"/>
          </w:tcPr>
          <w:p>
            <w:pPr>
              <w:spacing w:after="40"/>
            </w:pPr>
            <w:r>
              <w:rPr>
                <w:rFonts w:ascii="Times New Roman" w:hAnsi="Times New Roman"/>
                <w:b w:val="0"/>
                <w:i w:val="0"/>
                <w:sz w:val="20"/>
              </w:rPr>
              <w:t>M-4</w:t>
            </w:r>
          </w:p>
        </w:tc>
        <w:tc>
          <w:tcPr>
            <w:tcW w:type="dxa" w:w="1824"/>
          </w:tcPr>
          <w:p>
            <w:pPr>
              <w:spacing w:after="40"/>
            </w:pPr>
            <w:r>
              <w:rPr>
                <w:rFonts w:ascii="Times New Roman" w:hAnsi="Times New Roman"/>
                <w:b w:val="0"/>
                <w:i w:val="0"/>
                <w:sz w:val="20"/>
              </w:rPr>
              <w:t>Dot pattern</w:t>
            </w:r>
          </w:p>
        </w:tc>
        <w:tc>
          <w:tcPr>
            <w:tcW w:type="dxa" w:w="1824"/>
          </w:tcPr>
          <w:p>
            <w:pPr>
              <w:spacing w:after="40"/>
            </w:pPr>
            <w:r>
              <w:rPr>
                <w:rFonts w:ascii="Times New Roman" w:hAnsi="Times New Roman"/>
                <w:b w:val="0"/>
                <w:i w:val="0"/>
                <w:sz w:val="20"/>
              </w:rPr>
              <w:t>26.48</w:t>
            </w:r>
          </w:p>
        </w:tc>
        <w:tc>
          <w:tcPr>
            <w:tcW w:type="dxa" w:w="1824"/>
          </w:tcPr>
          <w:p>
            <w:pPr>
              <w:spacing w:after="40"/>
            </w:pPr>
            <w:r>
              <w:rPr>
                <w:rFonts w:ascii="Times New Roman" w:hAnsi="Times New Roman"/>
                <w:b w:val="0"/>
                <w:i w:val="0"/>
                <w:sz w:val="20"/>
              </w:rPr>
              <w:t>6.30</w:t>
            </w:r>
          </w:p>
        </w:tc>
        <w:tc>
          <w:tcPr>
            <w:tcW w:type="dxa" w:w="1824"/>
          </w:tcPr>
          <w:p>
            <w:pPr>
              <w:spacing w:after="40"/>
            </w:pPr>
            <w:r>
              <w:rPr>
                <w:rFonts w:ascii="Times New Roman" w:hAnsi="Times New Roman"/>
                <w:b w:val="0"/>
                <w:i w:val="0"/>
                <w:sz w:val="20"/>
              </w:rPr>
              <w:t>0.821</w:t>
            </w:r>
          </w:p>
        </w:tc>
      </w:tr>
      <w:tr>
        <w:tc>
          <w:tcPr>
            <w:tcW w:type="dxa" w:w="1824"/>
          </w:tcPr>
          <w:p>
            <w:pPr>
              <w:spacing w:after="40"/>
            </w:pPr>
            <w:r>
              <w:rPr>
                <w:rFonts w:ascii="Times New Roman" w:hAnsi="Times New Roman"/>
                <w:b w:val="0"/>
                <w:i w:val="0"/>
                <w:sz w:val="20"/>
              </w:rPr>
              <w:t>M-2</w:t>
            </w:r>
          </w:p>
        </w:tc>
        <w:tc>
          <w:tcPr>
            <w:tcW w:type="dxa" w:w="1824"/>
          </w:tcPr>
          <w:p>
            <w:pPr>
              <w:spacing w:after="40"/>
            </w:pPr>
            <w:r>
              <w:rPr>
                <w:rFonts w:ascii="Times New Roman" w:hAnsi="Times New Roman"/>
                <w:b w:val="0"/>
                <w:i w:val="0"/>
                <w:sz w:val="20"/>
              </w:rPr>
              <w:t>Dot pattern</w:t>
            </w:r>
          </w:p>
        </w:tc>
        <w:tc>
          <w:tcPr>
            <w:tcW w:type="dxa" w:w="1824"/>
          </w:tcPr>
          <w:p>
            <w:pPr>
              <w:spacing w:after="40"/>
            </w:pPr>
            <w:r>
              <w:rPr>
                <w:rFonts w:ascii="Times New Roman" w:hAnsi="Times New Roman"/>
                <w:b w:val="0"/>
                <w:i w:val="0"/>
                <w:sz w:val="20"/>
              </w:rPr>
              <w:t>26.48</w:t>
            </w:r>
          </w:p>
        </w:tc>
        <w:tc>
          <w:tcPr>
            <w:tcW w:type="dxa" w:w="1824"/>
          </w:tcPr>
          <w:p>
            <w:pPr>
              <w:spacing w:after="40"/>
            </w:pPr>
            <w:r>
              <w:rPr>
                <w:rFonts w:ascii="Times New Roman" w:hAnsi="Times New Roman"/>
                <w:b w:val="0"/>
                <w:i w:val="0"/>
                <w:sz w:val="20"/>
              </w:rPr>
              <w:t>6.14</w:t>
            </w:r>
          </w:p>
        </w:tc>
        <w:tc>
          <w:tcPr>
            <w:tcW w:type="dxa" w:w="1824"/>
          </w:tcPr>
          <w:p>
            <w:pPr>
              <w:spacing w:after="40"/>
            </w:pPr>
            <w:r>
              <w:rPr>
                <w:rFonts w:ascii="Times New Roman" w:hAnsi="Times New Roman"/>
                <w:b w:val="0"/>
                <w:i w:val="0"/>
                <w:sz w:val="20"/>
              </w:rPr>
              <w:t>0.896</w:t>
            </w:r>
          </w:p>
        </w:tc>
      </w:tr>
      <w:tr>
        <w:tc>
          <w:tcPr>
            <w:tcW w:type="dxa" w:w="1824"/>
          </w:tcPr>
          <w:p>
            <w:pPr>
              <w:spacing w:after="40"/>
            </w:pPr>
            <w:r>
              <w:rPr>
                <w:rFonts w:ascii="Times New Roman" w:hAnsi="Times New Roman"/>
                <w:b w:val="0"/>
                <w:i w:val="0"/>
                <w:sz w:val="20"/>
              </w:rPr>
              <w:t>M-6</w:t>
            </w:r>
          </w:p>
        </w:tc>
        <w:tc>
          <w:tcPr>
            <w:tcW w:type="dxa" w:w="1824"/>
          </w:tcPr>
          <w:p>
            <w:pPr>
              <w:spacing w:after="40"/>
            </w:pPr>
            <w:r>
              <w:rPr>
                <w:rFonts w:ascii="Times New Roman" w:hAnsi="Times New Roman"/>
                <w:b w:val="0"/>
                <w:i w:val="0"/>
                <w:sz w:val="20"/>
              </w:rPr>
              <w:t>Dot pattern</w:t>
            </w:r>
          </w:p>
        </w:tc>
        <w:tc>
          <w:tcPr>
            <w:tcW w:type="dxa" w:w="1824"/>
          </w:tcPr>
          <w:p>
            <w:pPr>
              <w:spacing w:after="40"/>
            </w:pPr>
            <w:r>
              <w:rPr>
                <w:rFonts w:ascii="Times New Roman" w:hAnsi="Times New Roman"/>
                <w:b w:val="0"/>
                <w:i w:val="0"/>
                <w:sz w:val="20"/>
              </w:rPr>
              <w:t>26.48</w:t>
            </w:r>
          </w:p>
        </w:tc>
        <w:tc>
          <w:tcPr>
            <w:tcW w:type="dxa" w:w="1824"/>
          </w:tcPr>
          <w:p>
            <w:pPr>
              <w:spacing w:after="40"/>
            </w:pPr>
            <w:r>
              <w:rPr>
                <w:rFonts w:ascii="Times New Roman" w:hAnsi="Times New Roman"/>
                <w:b w:val="0"/>
                <w:i w:val="0"/>
                <w:sz w:val="20"/>
              </w:rPr>
              <w:t>6.12</w:t>
            </w:r>
          </w:p>
        </w:tc>
        <w:tc>
          <w:tcPr>
            <w:tcW w:type="dxa" w:w="1824"/>
          </w:tcPr>
          <w:p>
            <w:pPr>
              <w:spacing w:after="40"/>
            </w:pPr>
            <w:r>
              <w:rPr>
                <w:rFonts w:ascii="Times New Roman" w:hAnsi="Times New Roman"/>
                <w:b w:val="0"/>
                <w:i w:val="0"/>
                <w:sz w:val="20"/>
              </w:rPr>
              <w:t>0.905</w:t>
            </w:r>
          </w:p>
        </w:tc>
      </w:tr>
      <w:tr>
        <w:tc>
          <w:tcPr>
            <w:tcW w:type="dxa" w:w="1824"/>
          </w:tcPr>
          <w:p>
            <w:pPr>
              <w:spacing w:after="40"/>
            </w:pPr>
            <w:r>
              <w:rPr>
                <w:rFonts w:ascii="Times New Roman" w:hAnsi="Times New Roman"/>
                <w:b w:val="0"/>
                <w:i w:val="0"/>
                <w:sz w:val="20"/>
              </w:rPr>
              <w:t>**Mean (dot pattern)**</w:t>
            </w:r>
          </w:p>
        </w:tc>
        <w:tc>
          <w:tcPr>
            <w:tcW w:type="dxa" w:w="1824"/>
          </w:tcPr>
          <w:p>
            <w:pPr>
              <w:spacing w:after="40"/>
            </w:pPr>
            <w:r>
              <w:rPr>
                <w:rFonts w:ascii="Times New Roman" w:hAnsi="Times New Roman"/>
                <w:b w:val="0"/>
                <w:i w:val="0"/>
                <w:sz w:val="20"/>
              </w:rPr>
            </w:r>
          </w:p>
        </w:tc>
        <w:tc>
          <w:tcPr>
            <w:tcW w:type="dxa" w:w="1824"/>
          </w:tcPr>
          <w:p>
            <w:pPr>
              <w:spacing w:after="40"/>
            </w:pPr>
            <w:r>
              <w:rPr>
                <w:rFonts w:ascii="Times New Roman" w:hAnsi="Times New Roman"/>
                <w:b w:val="0"/>
                <w:i w:val="0"/>
                <w:sz w:val="20"/>
              </w:rPr>
            </w:r>
          </w:p>
        </w:tc>
        <w:tc>
          <w:tcPr>
            <w:tcW w:type="dxa" w:w="1824"/>
          </w:tcPr>
          <w:p>
            <w:pPr>
              <w:spacing w:after="40"/>
            </w:pPr>
            <w:r>
              <w:rPr>
                <w:rFonts w:ascii="Times New Roman" w:hAnsi="Times New Roman"/>
                <w:b w:val="0"/>
                <w:i w:val="0"/>
                <w:sz w:val="20"/>
              </w:rPr>
            </w:r>
          </w:p>
        </w:tc>
        <w:tc>
          <w:tcPr>
            <w:tcW w:type="dxa" w:w="1824"/>
          </w:tcPr>
          <w:p>
            <w:pPr>
              <w:spacing w:after="40"/>
            </w:pPr>
            <w:r>
              <w:rPr>
                <w:rFonts w:ascii="Times New Roman" w:hAnsi="Times New Roman"/>
                <w:b w:val="0"/>
                <w:i w:val="0"/>
                <w:sz w:val="20"/>
              </w:rPr>
              <w:t>**0.796 ± 0.093**</w:t>
            </w:r>
          </w:p>
        </w:tc>
      </w:tr>
      <w:tr>
        <w:tc>
          <w:tcPr>
            <w:tcW w:type="dxa" w:w="1824"/>
          </w:tcPr>
          <w:p>
            <w:pPr>
              <w:spacing w:after="40"/>
            </w:pPr>
            <w:r>
              <w:rPr>
                <w:rFonts w:ascii="Times New Roman" w:hAnsi="Times New Roman"/>
                <w:b w:val="0"/>
                <w:i w:val="0"/>
                <w:sz w:val="20"/>
              </w:rPr>
              <w:t>M-5C</w:t>
            </w:r>
          </w:p>
        </w:tc>
        <w:tc>
          <w:tcPr>
            <w:tcW w:type="dxa" w:w="1824"/>
          </w:tcPr>
          <w:p>
            <w:pPr>
              <w:spacing w:after="40"/>
            </w:pPr>
            <w:r>
              <w:rPr>
                <w:rFonts w:ascii="Times New Roman" w:hAnsi="Times New Roman"/>
                <w:b w:val="0"/>
                <w:i w:val="0"/>
                <w:sz w:val="20"/>
              </w:rPr>
              <w:t>Coloured glass</w:t>
            </w:r>
          </w:p>
        </w:tc>
        <w:tc>
          <w:tcPr>
            <w:tcW w:type="dxa" w:w="1824"/>
          </w:tcPr>
          <w:p>
            <w:pPr>
              <w:spacing w:after="40"/>
            </w:pPr>
            <w:r>
              <w:rPr>
                <w:rFonts w:ascii="Times New Roman" w:hAnsi="Times New Roman"/>
                <w:b w:val="0"/>
                <w:i w:val="0"/>
                <w:sz w:val="20"/>
              </w:rPr>
              <w:t>26.48</w:t>
            </w:r>
          </w:p>
        </w:tc>
        <w:tc>
          <w:tcPr>
            <w:tcW w:type="dxa" w:w="1824"/>
          </w:tcPr>
          <w:p>
            <w:pPr>
              <w:spacing w:after="40"/>
            </w:pPr>
            <w:r>
              <w:rPr>
                <w:rFonts w:ascii="Times New Roman" w:hAnsi="Times New Roman"/>
                <w:b w:val="0"/>
                <w:i w:val="0"/>
                <w:sz w:val="20"/>
              </w:rPr>
              <w:t>5.73</w:t>
            </w:r>
          </w:p>
        </w:tc>
        <w:tc>
          <w:tcPr>
            <w:tcW w:type="dxa" w:w="1824"/>
          </w:tcPr>
          <w:p>
            <w:pPr>
              <w:spacing w:after="40"/>
            </w:pPr>
            <w:r>
              <w:rPr>
                <w:rFonts w:ascii="Times New Roman" w:hAnsi="Times New Roman"/>
                <w:b w:val="0"/>
                <w:i w:val="0"/>
                <w:sz w:val="20"/>
              </w:rPr>
              <w:t>1.088</w:t>
            </w:r>
          </w:p>
        </w:tc>
      </w:tr>
      <w:tr>
        <w:tc>
          <w:tcPr>
            <w:tcW w:type="dxa" w:w="1824"/>
          </w:tcPr>
          <w:p>
            <w:pPr>
              <w:spacing w:after="40"/>
            </w:pPr>
            <w:r>
              <w:rPr>
                <w:rFonts w:ascii="Times New Roman" w:hAnsi="Times New Roman"/>
                <w:b w:val="0"/>
                <w:i w:val="0"/>
                <w:sz w:val="20"/>
              </w:rPr>
              <w:t>M-8</w:t>
            </w:r>
          </w:p>
        </w:tc>
        <w:tc>
          <w:tcPr>
            <w:tcW w:type="dxa" w:w="1824"/>
          </w:tcPr>
          <w:p>
            <w:pPr>
              <w:spacing w:after="40"/>
            </w:pPr>
            <w:r>
              <w:rPr>
                <w:rFonts w:ascii="Times New Roman" w:hAnsi="Times New Roman"/>
                <w:b w:val="0"/>
                <w:i w:val="0"/>
                <w:sz w:val="20"/>
              </w:rPr>
              <w:t>Large dots</w:t>
            </w:r>
          </w:p>
        </w:tc>
        <w:tc>
          <w:tcPr>
            <w:tcW w:type="dxa" w:w="1824"/>
          </w:tcPr>
          <w:p>
            <w:pPr>
              <w:spacing w:after="40"/>
            </w:pPr>
            <w:r>
              <w:rPr>
                <w:rFonts w:ascii="Times New Roman" w:hAnsi="Times New Roman"/>
                <w:b w:val="0"/>
                <w:i w:val="0"/>
                <w:sz w:val="20"/>
              </w:rPr>
              <w:t>61.51</w:t>
            </w:r>
          </w:p>
        </w:tc>
        <w:tc>
          <w:tcPr>
            <w:tcW w:type="dxa" w:w="1824"/>
          </w:tcPr>
          <w:p>
            <w:pPr>
              <w:spacing w:after="40"/>
            </w:pPr>
            <w:r>
              <w:rPr>
                <w:rFonts w:ascii="Times New Roman" w:hAnsi="Times New Roman"/>
                <w:b w:val="0"/>
                <w:i w:val="0"/>
                <w:sz w:val="20"/>
              </w:rPr>
              <w:t>3.37</w:t>
            </w:r>
          </w:p>
        </w:tc>
        <w:tc>
          <w:tcPr>
            <w:tcW w:type="dxa" w:w="1824"/>
          </w:tcPr>
          <w:p>
            <w:pPr>
              <w:spacing w:after="40"/>
            </w:pPr>
            <w:r>
              <w:rPr>
                <w:rFonts w:ascii="Times New Roman" w:hAnsi="Times New Roman"/>
                <w:b w:val="0"/>
                <w:i w:val="0"/>
                <w:sz w:val="20"/>
              </w:rPr>
              <w:t>0.945</w:t>
            </w:r>
          </w:p>
        </w:tc>
      </w:tr>
      <w:tr>
        <w:tc>
          <w:tcPr>
            <w:tcW w:type="dxa" w:w="1824"/>
          </w:tcPr>
          <w:p>
            <w:pPr>
              <w:spacing w:after="40"/>
            </w:pPr>
            <w:r>
              <w:rPr>
                <w:rFonts w:ascii="Times New Roman" w:hAnsi="Times New Roman"/>
                <w:b w:val="0"/>
                <w:i w:val="0"/>
                <w:sz w:val="20"/>
              </w:rPr>
              <w:t>M-7</w:t>
            </w:r>
          </w:p>
        </w:tc>
        <w:tc>
          <w:tcPr>
            <w:tcW w:type="dxa" w:w="1824"/>
          </w:tcPr>
          <w:p>
            <w:pPr>
              <w:spacing w:after="40"/>
            </w:pPr>
            <w:r>
              <w:rPr>
                <w:rFonts w:ascii="Times New Roman" w:hAnsi="Times New Roman"/>
                <w:b w:val="0"/>
                <w:i w:val="0"/>
                <w:sz w:val="20"/>
              </w:rPr>
              <w:t>Full print</w:t>
            </w:r>
          </w:p>
        </w:tc>
        <w:tc>
          <w:tcPr>
            <w:tcW w:type="dxa" w:w="1824"/>
          </w:tcPr>
          <w:p>
            <w:pPr>
              <w:spacing w:after="40"/>
            </w:pPr>
            <w:r>
              <w:rPr>
                <w:rFonts w:ascii="Times New Roman" w:hAnsi="Times New Roman"/>
                <w:b w:val="0"/>
                <w:i w:val="0"/>
                <w:sz w:val="20"/>
              </w:rPr>
              <w:t>100.00</w:t>
            </w:r>
          </w:p>
        </w:tc>
        <w:tc>
          <w:tcPr>
            <w:tcW w:type="dxa" w:w="1824"/>
          </w:tcPr>
          <w:p>
            <w:pPr>
              <w:spacing w:after="40"/>
            </w:pPr>
            <w:r>
              <w:rPr>
                <w:rFonts w:ascii="Times New Roman" w:hAnsi="Times New Roman"/>
                <w:b w:val="0"/>
                <w:i w:val="0"/>
                <w:sz w:val="20"/>
              </w:rPr>
              <w:t>0.92</w:t>
            </w:r>
          </w:p>
        </w:tc>
        <w:tc>
          <w:tcPr>
            <w:tcW w:type="dxa" w:w="1824"/>
          </w:tcPr>
          <w:p>
            <w:pPr>
              <w:spacing w:after="40"/>
            </w:pPr>
            <w:r>
              <w:rPr>
                <w:rFonts w:ascii="Times New Roman" w:hAnsi="Times New Roman"/>
                <w:b w:val="0"/>
                <w:i w:val="0"/>
                <w:sz w:val="20"/>
              </w:rPr>
              <w:t>0.886</w:t>
            </w:r>
          </w:p>
        </w:tc>
      </w:tr>
    </w:tbl>
    <w:p/>
    <w:p>
      <w:pPr>
        <w:spacing w:before="40" w:after="160" w:lineRule="exact" w:line="300"/>
      </w:pPr>
      <w:r>
        <w:rPr>
          <w:rFonts w:ascii="Times New Roman" w:hAnsi="Times New Roman"/>
          <w:b w:val="0"/>
          <w:i/>
          <w:sz w:val="20"/>
        </w:rPr>
        <w:t>Table 5. Product-scale module electrical performance at STC. *(See Section 5.6)*</w:t>
      </w:r>
    </w:p>
    <w:p>
      <w:pPr>
        <w:spacing w:before="240" w:after="0" w:lineRule="exact" w:line="280"/>
      </w:pPr>
      <w:r>
        <w:rPr>
          <w:rFonts w:ascii="Times New Roman" w:hAnsi="Times New Roman"/>
          <w:b w:val="0"/>
          <w:i/>
          <w:sz w:val="18"/>
        </w:rPr>
        <w:t xml:space="preserve">Word count (body text, excluding tables, captions, references): approximately 6,450 words.*  </w:t>
      </w:r>
    </w:p>
    <w:p>
      <w:pPr>
        <w:spacing w:before="0" w:after="120" w:lineRule="exact" w:line="480"/>
        <w:ind w:firstLine="425"/>
      </w:pPr>
      <w:r>
        <w:rPr>
          <w:rFonts w:ascii="Times New Roman" w:hAnsi="Times New Roman"/>
          <w:b w:val="0"/>
          <w:i w:val="0"/>
          <w:sz w:val="24"/>
        </w:rPr>
      </w:r>
      <w:r>
        <w:rPr>
          <w:rFonts w:ascii="Times New Roman" w:hAnsi="Times New Roman"/>
          <w:b w:val="0"/>
          <w:i/>
          <w:sz w:val="24"/>
        </w:rPr>
        <w:t>Target: Applied Energy — word limit typically 9,000 words including all content.</w:t>
      </w:r>
      <w:r>
        <w:rPr>
          <w:rFonts w:ascii="Times New Roman" w:hAnsi="Times New Roman"/>
          <w:b w:val="0"/>
          <w:i w:val="0"/>
          <w:sz w:val="24"/>
        </w:rP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