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Architecture and Regulatory Compliance Framework for AI-Driven FinTech Order Routing Platforms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convergence of artificial intelligence, machine learning, and retail financial technology has initiated a paradigm shift in how market data is generated and acted upon. Software-as-a-Service (SaaS) platforms now possess the capability to deploy predictive algorithms that curate daily equity selections and facilitate direct application programming interface (API) order routing to execution venues such as Interactive Brokers (IBKR) or Alpaca. However, this technological capability operates in the shadow of a highly restrictive and unforgiving regulatory apparatus overseen by the Securities and Exchange Commission (SEC) and the Financial Industry Regulatory Authority (FINRA). For a platform offering AI-generated "Top 5" stock picks coupled with automated routing software, the regulatory peril is acute, existential, and multifaceted.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paramount objective in architecting such a platform is evading classification as a Registered Investment Adviser (RIA) under the Investment Advisers Act of 1940. Operating an unregistered investment advisory service invites catastrophic enforcement actions, including crippling civil penalties, disgorgement of revenues, and permanent industry bars. To survive inevitable regulatory scrutiny, the platform's system architecture, user interface (UI), and legal documentation must be meticulously engineered to invoke and defend either the "Publisher's Exemption" or the "Neutral Tool" regulatory frameworks.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report details the exact software engineering constraints, risk management protocols, and legal frameworks required to operate a non-advisory algorithmic trading SaaS. It delineates the absolute mechanical limiters that must be hardcoded into the software to prevent the platform from exercising investment discretion. Furthermore, it explores the technical requirements for mirroring FINRA Rule 15c3-5 pre-trade risk controls, the jurisprudence and implementation of legally binding clickwrap agreements, and the bitemporal database architectures necessary to construct immutable audit trails capable of shielding the corporate entity during a black swan market event.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Regulatory Abyss: The Investment Advisers Act of 1940</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engineer a compliant software system, the foundational statutory definitions and case law governing investment advice in the United States must be internalized into the software development lifecycle. Section 202(a)(11) of the Investment Advisers Act of 1940 broadly defines an "investment adviser" as any person or firm that, for compensation, engages in the business of providing advice, making recommendations, issuing reports, or furnishing analyses regarding securities.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SaaS platform that charges a subscription fee for AI-generated equity selections squarely meets this initial definition, creating an immediate presumption of regulated status.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Publisher's Exemption and the Lowe v. SEC Standard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Act provides a critical statutory carve-out in Section 202(a)(11)(D), commonly referred to as the "Publisher's Exemption." This provision excludes "the publisher of any bona fide newspaper, news magazine or business or financial publication of general and regular circulation" from the definition of an investment adviser.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application of this analog-era exemption to modern digital platforms, algorithms, and software has been shaped by landmark Supreme Court precedent and subsequent SEC administrative proceedings.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parameters of the Publisher's Exemption were decisively established by the Supreme Court in </w:t>
      </w:r>
      <w:r w:rsidDel="00000000" w:rsidR="00000000" w:rsidRPr="00000000">
        <w:rPr>
          <w:rFonts w:ascii="Google Sans" w:cs="Google Sans" w:eastAsia="Google Sans" w:hAnsi="Google Sans"/>
          <w:i w:val="1"/>
          <w:iCs w:val="1"/>
          <w:color w:val="1f1f1f"/>
          <w:rtl w:val="0"/>
        </w:rPr>
        <w:t xml:space="preserve">Lowe v. SEC</w:t>
      </w:r>
      <w:r w:rsidDel="00000000" w:rsidR="00000000" w:rsidRPr="00000000">
        <w:rPr>
          <w:rFonts w:ascii="Google Sans" w:cs="Google Sans" w:eastAsia="Google Sans" w:hAnsi="Google Sans"/>
          <w:color w:val="1f1f1f"/>
          <w:rtl w:val="0"/>
        </w:rPr>
        <w:t xml:space="preserve"> (1985).</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Court held that to qualify for the exemption, a publication must satisfy three distinct and immutable criteria. First, the publication must be "impersonal," meaning the advice must be of a general nature and not tailored to the specific investment portfolio or particular needs of any individual client.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Second, it must be "bona fide," containing disinterested commentary and analysis, functioning as a genuine publication rather than a promotional vehicle or a personal communication masquerading as a publication.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Third, it must be of "general and regular circulation," issued on a regular schedule rather than timed to specific market events or released solely in response to individual user inquiries.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SaaS platform, generating a daily "Top 5" list of stock picks utilizing a machine learning algorithm is broadly permissible under the </w:t>
      </w:r>
      <w:r w:rsidDel="00000000" w:rsidR="00000000" w:rsidRPr="00000000">
        <w:rPr>
          <w:rFonts w:ascii="Google Sans" w:cs="Google Sans" w:eastAsia="Google Sans" w:hAnsi="Google Sans"/>
          <w:i w:val="1"/>
          <w:iCs w:val="1"/>
          <w:color w:val="1f1f1f"/>
          <w:rtl w:val="0"/>
        </w:rPr>
        <w:t xml:space="preserve">Lowe</w:t>
      </w:r>
      <w:r w:rsidDel="00000000" w:rsidR="00000000" w:rsidRPr="00000000">
        <w:rPr>
          <w:rFonts w:ascii="Google Sans" w:cs="Google Sans" w:eastAsia="Google Sans" w:hAnsi="Google Sans"/>
          <w:color w:val="1f1f1f"/>
          <w:rtl w:val="0"/>
        </w:rPr>
        <w:t xml:space="preserve"> standard, provided the output is universally distributed to all subscribers identically.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algorithm must remain entirely blind to the user. It cannot ingest the user's current portfolio holdings via an API integration, evaluate their risk tolerance, or factor in their age or income to generate a customized list.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If the platform provides targeted outputs based on user-specific inputs, the impersonal nature of the publication is destroyed, the Publisher's Exemption is instantly voided, and the platform becomes an illegally operating, unregistered investment adviser.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Catastrophic Precedent of Auto-Trading: In re Weiss Research</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w:t>
      </w:r>
      <w:r w:rsidDel="00000000" w:rsidR="00000000" w:rsidRPr="00000000">
        <w:rPr>
          <w:rFonts w:ascii="Google Sans" w:cs="Google Sans" w:eastAsia="Google Sans" w:hAnsi="Google Sans"/>
          <w:i w:val="1"/>
          <w:iCs w:val="1"/>
          <w:color w:val="1f1f1f"/>
          <w:rtl w:val="0"/>
        </w:rPr>
        <w:t xml:space="preserve">Lowe</w:t>
      </w:r>
      <w:r w:rsidDel="00000000" w:rsidR="00000000" w:rsidRPr="00000000">
        <w:rPr>
          <w:rFonts w:ascii="Google Sans" w:cs="Google Sans" w:eastAsia="Google Sans" w:hAnsi="Google Sans"/>
          <w:color w:val="1f1f1f"/>
          <w:rtl w:val="0"/>
        </w:rPr>
        <w:t xml:space="preserve"> protects the distribution of impersonal financial data, the mechanism by which that data is acted upon introduces profound regulatory risk. The defining SEC enforcement action regarding automated trading and the Publisher's Exemption is </w:t>
      </w:r>
      <w:r w:rsidDel="00000000" w:rsidR="00000000" w:rsidRPr="00000000">
        <w:rPr>
          <w:rFonts w:ascii="Google Sans" w:cs="Google Sans" w:eastAsia="Google Sans" w:hAnsi="Google Sans"/>
          <w:i w:val="1"/>
          <w:iCs w:val="1"/>
          <w:color w:val="1f1f1f"/>
          <w:rtl w:val="0"/>
        </w:rPr>
        <w:t xml:space="preserve">In the Matter of Weiss Research, Inc.</w:t>
      </w:r>
      <w:r w:rsidDel="00000000" w:rsidR="00000000" w:rsidRPr="00000000">
        <w:rPr>
          <w:rFonts w:ascii="Google Sans" w:cs="Google Sans" w:eastAsia="Google Sans" w:hAnsi="Google Sans"/>
          <w:color w:val="1f1f1f"/>
          <w:rtl w:val="0"/>
        </w:rPr>
        <w:t xml:space="preserve"> (2006).</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Weiss Research operated a premium financial newsletter that distributed stock recommendations. However, it also facilitated an "auto-trading" program wherein subscribers signed agreements directing their broker-dealers to automatically execute all trading recommendations published by Weiss Research without requiring any manual pre-approval, intervention, or instruction from the subscriber.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SEC ruled that this arrangement categorically defeated the Publisher's Exemption.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 established that the Publisher's Exemption is lost if a platform exercises authority over subscriber funds, possesses decision-making authority over subscriber portfolios, or engages in individualized investment-related interactions.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transmitting trading signals that were automatically and blindly executed by the broker, Weiss Research effectively possessed "investment discretion to purchase and sell securities on behalf of its auto-trading subscribers".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level of control perfectly mirrors a standard, regulated investment adviser-client relationship and strips away the "impersonal" protection of the publishers' exclusion.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Quantitative Models and Impersonal Data: The Seeking Alpha Paradigm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contrast between illegal auto-trading and permissible quantitative data distribution is perfectly illustrated by recent litigation involving the financial platform Seeking Alpha. In a proposed class action, plaintiffs alleged that Seeking Alpha operated as an unregistered investment adviser by providing a proprietary "Quant Rating System" and "Factor Grades" for thousands of securities.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 District Court for the Southern District of New York dismissed the case, ruling that the platform fell squarely within the Publisher's Exemption.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court emphasized that providing algorithmic ratings, stock screeners, and email alerts did not constitute personalized advice because Seeking Alpha did not have authority over the funds of subscribers and was not delegated decision-making authority to handle subscribers' portfolios or accounts.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creates a clear regulatory delineation: A SaaS platform may utilize complex AI and machine learning models to score, rank, and publish quantitative data (the "Top 5" picks) as long as it rigorously adheres to the impersonal distribution standard and explicitly avoids the discretionary execution traps outlined in </w:t>
      </w:r>
      <w:r w:rsidDel="00000000" w:rsidR="00000000" w:rsidRPr="00000000">
        <w:rPr>
          <w:rFonts w:ascii="Google Sans" w:cs="Google Sans" w:eastAsia="Google Sans" w:hAnsi="Google Sans"/>
          <w:i w:val="1"/>
          <w:iCs w:val="1"/>
          <w:color w:val="1f1f1f"/>
          <w:rtl w:val="0"/>
        </w:rPr>
        <w:t xml:space="preserve">Weiss Research</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Software Architecture of the "Neutral Tool" Defense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integrate API order routing without running afoul of the </w:t>
      </w:r>
      <w:r w:rsidDel="00000000" w:rsidR="00000000" w:rsidRPr="00000000">
        <w:rPr>
          <w:rFonts w:ascii="Google Sans" w:cs="Google Sans" w:eastAsia="Google Sans" w:hAnsi="Google Sans"/>
          <w:i w:val="1"/>
          <w:iCs w:val="1"/>
          <w:color w:val="1f1f1f"/>
          <w:rtl w:val="0"/>
        </w:rPr>
        <w:t xml:space="preserve">Weiss Research</w:t>
      </w:r>
      <w:r w:rsidDel="00000000" w:rsidR="00000000" w:rsidRPr="00000000">
        <w:rPr>
          <w:rFonts w:ascii="Google Sans" w:cs="Google Sans" w:eastAsia="Google Sans" w:hAnsi="Google Sans"/>
          <w:color w:val="1f1f1f"/>
          <w:rtl w:val="0"/>
        </w:rPr>
        <w:t xml:space="preserve"> precedent, the SaaS platform must rely on the "Neutral Tool" framework. Recent SEC guidance regarding digital asset user interfaces and digital engagement practices has clarified that a software interface can facilitate transactions without triggering broker-dealer or investment adviser registration, provided it operates strictly as an objective, neutral technological utility—a "window, not a hand on the wheel".</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legal and engineering constraint of the Neutral Tool defense is that the user, not the software, must exercise absolute, granular control over all parameters of every single trade.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platform must introduce specific mechanical limiters and mandatory friction points into the software architecture to prove that it is merely transmitting user-directed communications, not exercising algorithmic investment discretion.</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Prohibition of Algorithmic Discretion and Auto-Execution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critical architectural mandate to satisfy the Neutral Tool defense is the absolute prohibition of default "auto-execute" functionality. To answer the architectural query directly: The bot cannot auto-execute by default, nor can there be a global user-initiated "toggle" that allows the system to route orders while the user is away from the platform.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Providing a toggle that says "Automatically trade the daily Top 5 picks" is the exact mechanism that triggered the SEC's enforcement action in </w:t>
      </w:r>
      <w:r w:rsidDel="00000000" w:rsidR="00000000" w:rsidRPr="00000000">
        <w:rPr>
          <w:rFonts w:ascii="Google Sans" w:cs="Google Sans" w:eastAsia="Google Sans" w:hAnsi="Google Sans"/>
          <w:i w:val="1"/>
          <w:iCs w:val="1"/>
          <w:color w:val="1f1f1f"/>
          <w:rtl w:val="0"/>
        </w:rPr>
        <w:t xml:space="preserve">Weiss Research</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survive SEC scrutiny, the system workflow must mandate an explicit, affirmative action for each individual security.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user must be forced to log in, review the AI's published data, and initiate the API routing sequence manually. The backend API routing microservices must not contain cron jobs or autonomous event listeners that trigger routing endpoints (e.g., POST /v2/orders) based merely on the completion of the AI model's daily data pipeline. Every API call must only be initiated by a verified HTTP request originating from a client-side user session, carrying a unique, time-stamped cryptographic token generated at the exact millisecond the user clicks an "Execute" or "Confirm Route" button.</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Mandatory Manual Configuration of Trade Parameters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Neutral Tool must not dictate the terms of the transaction.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Therefore, the UI must require the user to manually configure the specific parameters of the order prior to routing. The software engineering constraints require the UI to act as a blank slate that the user must populate.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Regarding position sizing: Can the AI suggest a position size? Absolutely not. If the AI analyzes a user's $100,000 brokerage balance via a data API and suggests allocating 5% ($5,000) to a specific stock pick, the platform has crossed the threshold from impersonal publication into personalized investment advice, instantly violating the </w:t>
      </w:r>
      <w:r w:rsidDel="00000000" w:rsidR="00000000" w:rsidRPr="00000000">
        <w:rPr>
          <w:rFonts w:ascii="Google Sans" w:cs="Google Sans" w:eastAsia="Google Sans" w:hAnsi="Google Sans"/>
          <w:i w:val="1"/>
          <w:iCs w:val="1"/>
          <w:color w:val="1f1f1f"/>
          <w:rtl w:val="0"/>
        </w:rPr>
        <w:t xml:space="preserve">Lowe</w:t>
      </w:r>
      <w:r w:rsidDel="00000000" w:rsidR="00000000" w:rsidRPr="00000000">
        <w:rPr>
          <w:rFonts w:ascii="Google Sans" w:cs="Google Sans" w:eastAsia="Google Sans" w:hAnsi="Google Sans"/>
          <w:color w:val="1f1f1f"/>
          <w:rtl w:val="0"/>
        </w:rPr>
        <w:t xml:space="preserve"> standard and assuming fiduciary liability.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mechanical limiters that must be coded into the platform include the following configurations: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UI Parameter Constraint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Neutral Tool Engineering 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Quantity / Notional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input field for the number of shares or the dollar amount to invest must default to null, 0, or remain entirely blank. The user must physically type the desired allocation using their keyboard.</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Prevents the software from exercising discretionary position sizing, ensuring the user determines their own financial exposure.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Order Type Selection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user must explicitly select the order type (e.g., Market, Limit, Stop) from a dropdown menu. The system must not automatically default to a Market order.</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Proves the user dictated the mechanics of the execution, rather than the platform optimizing execution strategies.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Limit Price Designation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If a Limit order is selected, the user must input the specific limit price. The UI may display the current Bid/Ask spread as objective market data, but it cannot auto-populate the limit price field.</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Ensures the platform does not provide advice on valuation or specific entry/exit price points.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Pathway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If multiple API routes are available, the interface must present them objectively without describing one as the "best price" or "preferred" route.</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Prevents the platform from assuming the broker-dealer duty of "best execution."</w:t>
            </w:r>
          </w:p>
        </w:tc>
      </w:tr>
    </w:tbl>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Neutralizing Digital Engagement Practices (DEPs)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 has initiated sweeping regulatory proposals regarding the use of predictive data analytics (PDA) and digital engagement practices (DEPs) by financial firms.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SEC views practices such as behavioral prompts, differential marketing, and gamification as inherent conflicts of interest that encourage excessive trading to generate revenue.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the Neutral Tool defense, the platform must maintain a strict firewall between the presentation of mathematical data and the offering of investment opinions or behavioral nudges.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AI model's output must be framed purely as the result of a mathematical computation. The UI should display language such as, "The algorithm's highest-scoring equities based on 30-day historical momentum parameters are X, Y, and Z." It must entirely avoid phraseology such as "We recommend you buy X," "X is the optimal choice," or "X is perfectly suited for your portfolio".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software architecture must eradicate all elements of gamification. The UI cannot feature badges, leaderboards, streaks, visual celebrations for executing trades (e.g., digital confetti), or push notifications urging immediate action due to market movements.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platform must function with the sterile, objective neutrality of a Bloomberg Terminal, presenting data and executing user commands without psychological interference.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Eradicating "AI Washing" and Marketing Liability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the mechanics of the UI, the platform's marketing and documentation must accurately reflect the capabilities of the artificial intelligence. The SEC has begun aggressively targeting FinTech firms for "AI washing"—making false, misleading, or unsubstantiated claims about their AI capabilities.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enforcement actions against firms like Delphia and Global Predictions resulted in hundreds of thousands of dollars in fines for advertising AI capabilities they did not actually possess or could not substantiate.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If the platform claims to use "machine learning" to pick stocks, the CTO and Chief Compliance Officer must maintain rigorous internal documentation, backtesting logs, and model validation reports to prove the algorithm operates exactly as marketed. Claims of "guaranteed returns," "unbeatable AI," or "risk-free machine learning" will not only attract immediate SEC enforcement under anti-fraud provisions but will completely undermine the platform's defense that it is merely an objective publisher of impersonal data.</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Architecting FINRA 15c3-5 Pre-Trade Risk Controls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a SaaS platform operating strictly under the Publisher's Exemption and Neutral Tool defense is successfully insulated from registering as a broker-dealer, its API partners (such as Interactive Brokers, Alpaca, or Tradier) absolutely are not. These broker-dealers are heavily regulated entities strictly governed by FINRA Rule 15c3-5, commonly known as the Market Access Rule.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15c3-5 mandates that broker-dealers implement comprehensive pre-trade risk controls and supervisory procedures to prevent the entry of erroneous orders, block orders that exceed appropriate credit or capital thresholds, and ensure continuous compliance with regulatory requirements.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Broker-dealers view third-party API routing platforms as vectors of massive systemic risk. If a SaaS platform routes unchecked, reckless algorithmic orders—or suffers a system malfunction that spams the brokerage API with millions of erroneous orders—it threatens the stability of the broker-dealer and the broader financial system. Consequently, broker-dealers will immediately sever API access at the first sign of infrastructural instability.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secure and maintain these vital API partnerships, the SaaS platform's Systems Architect must engineer internal risk controls that perfectly parallel FINRA Rule 15c3-5, acting as a prophylactic shield for its API partners.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Algorithmic Price Parameters and Fat-Finger Limiters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backend system architecture must interpose an intermediate validation microservice—a dedicated risk engine—that intercepts and evaluates the user's API request before it is permitted to transmit to the downstream brokerage.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engine must be hardcoded to enforce strict "fat-finger" limits (maximum order size constraints) and price deviation parameters.</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Notional Value Ceilings:</w:t>
      </w:r>
      <w:r w:rsidDel="00000000" w:rsidR="00000000" w:rsidRPr="00000000">
        <w:rPr>
          <w:rFonts w:ascii="Google Sans" w:cs="Google Sans" w:eastAsia="Google Sans" w:hAnsi="Google Sans"/>
          <w:color w:val="1f1f1f"/>
          <w:rtl w:val="0"/>
        </w:rPr>
        <w:t xml:space="preserve"> The system must enforce a maximum allowable dollar amount per single order and per user per day. Even if a user physically types "$5,000,000" into the UI, the internal risk engine must intercept and reject the payload if the platform's internal policy sets a $100,000 retail limit.</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Maximum Order Size Constraints:</w:t>
      </w:r>
      <w:r w:rsidDel="00000000" w:rsidR="00000000" w:rsidRPr="00000000">
        <w:rPr>
          <w:rFonts w:ascii="Google Sans" w:cs="Google Sans" w:eastAsia="Google Sans" w:hAnsi="Google Sans"/>
          <w:color w:val="1f1f1f"/>
          <w:rtl w:val="0"/>
        </w:rPr>
        <w:t xml:space="preserve"> The engine must be programmed to evaluate the requested share quantity against the security's prevailing liquidity. A common control is rejecting orders where the share quantity exceeds a specific percentage (e.g., 5%) of the security's 30-day Average Daily Volume (ADV). Routing an order that represents a massive portion of a thinly traded microcap stock's daily volume is a manipulative practice that will trigger exchange-level circuit breakers and broker-dealer alerts.</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Price Tolerance Limits:</w:t>
      </w:r>
      <w:r w:rsidDel="00000000" w:rsidR="00000000" w:rsidRPr="00000000">
        <w:rPr>
          <w:rFonts w:ascii="Google Sans" w:cs="Google Sans" w:eastAsia="Google Sans" w:hAnsi="Google Sans"/>
          <w:color w:val="1f1f1f"/>
          <w:rtl w:val="0"/>
        </w:rPr>
        <w:t xml:space="preserve"> For Limit orders, the system must evaluate the user's inputted limit price against the National Best Bid and Offer (NBBO) or the last trade price. By requiring "order price parameters," the platform establishes price limits intended to prevent orders with prices far from the prevailing market from entering the order book.</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If a user accidentally inputs a limit price to buy at $100 for a stock trading at $10, the risk engine must trigger a hard error, preventing the erroneous execution from reaching the market.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Intraday Margin Deficits and Capital Drawdown Boundaries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platform facilitates API trading in margin-enabled accounts (such as pattern day trader accounts), it must programmatically respect intraday buying power and margin deficit warnings.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Brokerages like Alpaca enforce real-time pre-trade checks that reject orders that would create or increase an intraday margin deficit.</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provide a seamless UI and prevent spamming the broker with destined-to-fail orders, the SaaS platform should query the broker's API (e.g., GET /v2/account) to verify real-time buying power and capital drawdown boundaries before attempting to route an order. If the proposed trade size exceeds the available settled cash or creates a margin deficit, the SaaS platform's UI must intercept the submission, displaying an "Insufficient Funds / Margin Limit Exceeded" error directly to the user.</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platform must implement rigorous rate limiting (message and execution throttles) at the API gateway level.</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If a user repeatedly clicks the "Submit" button due to a localized network latency, or if a malicious script attempts to spam the platform, the system must enforce a strict throttle (e.g., maximum 5 order messages per second per unique user ID) to prevent downstream API flooding and DDOS-like behavior against the broker-dealer.</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Global Kill Switches and Automated Load Shedding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event of a severe algorithmic hallucination, a corrupted upstream market data feed, or a broader market flash crash, the SaaS platform must possess a localized "Global Kill Switch".</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is an administrative-level architectural mechanism that, when activated, immediately ceases all outbound API order routing across the entire platform.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Broker-dealers require absolute assurance that third-party routing software possesses this capability. The architecture must allow the CTO or compliance personnel to trigger this halt instantaneously via an administrative dashboard, without requiring a manual code deployment or server reboot. When activated, the system must severe active API POST connections, reject all incoming user requests with a 503 Service Unavailable status, and automatically attempt to cancel any pending, unexecuted orders where the broker's API permits.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presence of robust business continuity and disaster recovery protocols is increasingly demanded by regulators and institutional partners alike to ensure market resilience and prevent a localized software bug from creating a systemic market event.</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User Interface Friction, Clickwrap Agreements, and Legal Copy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legal defense of a FinTech SaaS platform relies profoundly on the quality, visibility, and enforceability of its user agreements. In the event of litigation following substantial user trading losses, the platform must prove conclusively that the user explicitly understood the experimental nature of algorithmic trading, acknowledged the risks of API routing, and legally consented to the platform's terms of service.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Jurisprudence of Clickwrap vs. Browsewrap Enforceability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Courts rigorously differentiate between "browsewrap" agreements (where legal terms are merely hyperlinked in the footer of a webpage) and "clickwrap" agreements (where the user must take an affirmative, physical action to accept the terms). Browsewrap agreements are frequently deemed unenforceable because they do not guarantee that the user had clear, conspicuous notice of the terms before using the software.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Clickwrap agreements, conversely, are highly enforceable and serve as the absolute gold standard for contract risk management in digital financial environments.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Because clickwrap agreements require users to actively accept terms, courts frequently uphold them as valid digital contracts.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enforceability of these digital contracts was starkly demonstrated in the recent Celsius Network bankruptcy case, where the U.S. Bankruptcy Court held that the clickwrap terms of use formed a valid, enforceable contract that unambiguously transferred title of digital assets to the platform, overriding user claims to the contrary.</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Strategic Placement Within the Onboarding Flow</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UI Implementation:</w:t>
      </w:r>
      <w:r w:rsidDel="00000000" w:rsidR="00000000" w:rsidRPr="00000000">
        <w:rPr>
          <w:rFonts w:ascii="Google Sans" w:cs="Google Sans" w:eastAsia="Google Sans" w:hAnsi="Google Sans"/>
          <w:color w:val="1f1f1f"/>
          <w:rtl w:val="0"/>
        </w:rPr>
        <w:t xml:space="preserve"> The presentation of these agreements cannot be buried. During the onboarding flow, and specifically as a mandatory gating mechanism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the user is permitted to link their brokerage account via OAuth or API keys, the UI must present the Terms of Service (ToS), Privacy Policy, and Risk Disclosures.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user must be forced to interact with the interface. The ideal flow requires the user to scroll to the absolute bottom of the terms window before a checkbox becomes clickable.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user must then check an unchecked box stating, "I have read, understand, and explicitly agree to be bound by the Terms of Service and Risk Disclosures."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Furthermore, the system must capture and permanently store the exact signer authentication details, including the email address, IP address, device footprint, and a millisecond-precision timestamp to ensure non-repudiation of the digital signature.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Required Legal Copy: Volatility, Hallucination, and Impersonal Data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legal copy must be stark, highly visible, and devoid of marketing jargon. It must directly address the specific novel risks of AI and quantitative trading.</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disclosures should be presented in a capitalized, bold font to ensure they meet the legal standard for conspicuousness.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exact legal frameworks and required verbiage should include the following core concepts: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Disclosure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Required Legal Verbiage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 Fiduciary Duty / Publisher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"The Platform is strictly an educational data-processing software utility. The Platform does not provide personalized investment advice, financial planning, or tax advice. The Platform is NOT a Registered Investment Adviser, broker-dealer, or fiduciary. The data outputs, including 'Top 5' algorithmic lists, are purely impersonal mathematical computations based on historical data and do not account for your individual financial situation, risk tolerance, or investment objectives."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Cements the </w:t>
            </w:r>
            <w:r w:rsidDel="00000000" w:rsidR="00000000" w:rsidRPr="00000000">
              <w:rPr>
                <w:rFonts w:ascii="Google Sans" w:cs="Google Sans" w:eastAsia="Google Sans" w:hAnsi="Google Sans"/>
                <w:i w:val="1"/>
                <w:iCs w:val="1"/>
                <w:color w:val="1f1f1f"/>
                <w:shd w:fill="auto" w:val="clear"/>
                <w:rtl w:val="0"/>
              </w:rPr>
              <w:t xml:space="preserve">Lowe v. SEC</w:t>
            </w:r>
            <w:r w:rsidDel="00000000" w:rsidR="00000000" w:rsidRPr="00000000">
              <w:rPr>
                <w:rFonts w:ascii="Google Sans" w:cs="Google Sans" w:eastAsia="Google Sans" w:hAnsi="Google Sans"/>
                <w:color w:val="1f1f1f"/>
                <w:shd w:fill="auto" w:val="clear"/>
                <w:rtl w:val="0"/>
              </w:rPr>
              <w:t xml:space="preserve"> Publisher's Exemption and explicitly disclaims any fiduciary relationship.</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Hallucination &amp; Algorithmic 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"The Platform utilizes experimental machine learning algorithms to process market data. Users explicitly acknowledge that Artificial Intelligence systems are inherently subject to 'hallucinations,' calculation errors, data lag, and logic failures. The algorithms may generate outputs that are entirely incorrect, irrational, or financially disastrous. The Platform makes no representations regarding the accuracy, reliability, or profitability of the algorithms."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Protects against "AI washing" enforcement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 and breach of warranty claims regarding the predictive power of the model.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Volatility &amp; Total Loss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"Securities trading involves substantial risk of catastrophic loss. Financial markets are subject to extreme volatility, flash crashes, and liquidity constraints. Users acknowledge that the value of any security can go to zero.</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shd w:fill="auto" w:val="clear"/>
                <w:rtl w:val="0"/>
              </w:rPr>
              <w:t xml:space="preserve"> The user assumes 100% of the financial risk associated with routing orders based on the Platform's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Establishes assumption of risk, shielding the platform from standard market-driven losses.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Neutral Tool Acknowledgment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"The Platform acts solely as a neutral routing technology. The user maintains absolute discretion and control over all trading decisions. The user is solely responsible for verifying all order parameters, including ticker symbol, quantity, and limit prices, prior to manual 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Proves the software acts as a Neutral Tool and a conduit, preventing </w:t>
            </w:r>
            <w:r w:rsidDel="00000000" w:rsidR="00000000" w:rsidRPr="00000000">
              <w:rPr>
                <w:rFonts w:ascii="Google Sans" w:cs="Google Sans" w:eastAsia="Google Sans" w:hAnsi="Google Sans"/>
                <w:i w:val="1"/>
                <w:iCs w:val="1"/>
                <w:color w:val="1f1f1f"/>
                <w:shd w:fill="auto" w:val="clear"/>
                <w:rtl w:val="0"/>
              </w:rPr>
              <w:t xml:space="preserve">Weiss Research</w:t>
            </w:r>
            <w:r w:rsidDel="00000000" w:rsidR="00000000" w:rsidRPr="00000000">
              <w:rPr>
                <w:rFonts w:ascii="Google Sans" w:cs="Google Sans" w:eastAsia="Google Sans" w:hAnsi="Google Sans"/>
                <w:color w:val="1f1f1f"/>
                <w:shd w:fill="auto" w:val="clear"/>
                <w:rtl w:val="0"/>
              </w:rPr>
              <w:t xml:space="preserve"> auto-trading liabilities.</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forcing the user through these friction points, the platform establishes an unassailable documented record that the user is a self-directed actor utilizing an experimental software tool at their own peril, completely defeating any subsequent civil claim that the platform acted as an investment adviser.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Liability Mitigation in Black Swan Market Events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markets are inherently unstable, and complex software systems are prone to unexpected failures. A "Black Swan" event—such as a market-wide flash crash, a catastrophic outage at a downstream brokerage API, or an internal microservice failure—can result in severe financial harm to users.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a scenario where a user manually submits a Stop-Loss order via the SaaS platform to protect a highly leveraged position. However, an unexpected API timeout or latency spike prevents the order from reaching the broker-dealer in time. The stock plummets, costing the user $50,000. In the immediate aftermath, the user will undoubtedly attempt to sue the SaaS platform for negligence, breach of contract, or failure of software performance. To shield the Limited Liability Company (LLC) from catastrophic judgments that could force insolvency, the Terms of Service must be fortified with specific liability limitations and highly restrictive dispute resolution mechanisms.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Systemic Infrastructure Failures and Limitation of Liability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Terms of Service must contain an airtight Limitation of Liability clause, specifically disclaiming liability for third-party API failures, network latency, and software bugs.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clause must state that the software and API connectivity are provided on an "AS IS" and "AS AVAILABLE" basis, explicitly disclaiming all warranties of any kind, either express or implied, including warranties of merchantability, fitness for a particular purpose, or uninterrupted availability.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It must explicitly address the realities of market data and execution infrastructure: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Operator shall not be liable for any damages incurred by Users arising from delays, failures, or errors in API routing, downstream broker-dealer outages, or the inaccuracy of third-party market data feeds. I understand that neither the Platform nor any supplier of market data guarantees the timeliness, sequence, accuracy, completeness, or reliability of market information or messages disseminated.</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In no event shall the platform's aggregate liability for any claims exceed the total subscription fees paid by the user in the three (3) months preceding the event giving rise to the claim." </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precise language ensures that even if the SaaS platform is technically at fault due to an internal coding error, the maximum financial exposure is capped at a nominal subscription refund, preventing the LLC from being sued into oblivion for massive market losses.</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Mandatory Arbitration and Class Action Waivers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prevent individual lawsuits in various disparate jurisdictional areas and to insulate the company from massive class-action litigation, the Terms of Service must include a Mandatory Binding Arbitration Clause.</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clause forces users to resolve any and all disputes through a private arbitrator (e.g., the American Arbitration Association or JAMS) rather than in a state or federal court before a judge or jury.</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Arbitration offers faster resolution, keeps the proceedings entirely confidential (preventing devastating reputational damage), and significantly limits the scope of discovery and appeal rights available to the plaintiff.</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the arbitration agreement must be inextricably coupled with a </w:t>
      </w:r>
      <w:r w:rsidDel="00000000" w:rsidR="00000000" w:rsidRPr="00000000">
        <w:rPr>
          <w:rFonts w:ascii="Google Sans" w:cs="Google Sans" w:eastAsia="Google Sans" w:hAnsi="Google Sans"/>
          <w:b w:val="1"/>
          <w:bCs w:val="1"/>
          <w:color w:val="1f1f1f"/>
          <w:rtl w:val="0"/>
        </w:rPr>
        <w:t xml:space="preserve">Class Action Waiver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requires users to bring claims strictly in their individual capacity, not as plaintiffs or class members in any purported class, consolidated, or representative proceeding. In the event of a system-wide API failure affecting tens of thousands of users simultaneously, a class action waiver ensures the company faces isolated, individual arbitrations rather than a unified, multi-million dollar class-action lawsuit that could force the entity into immediate bankruptcy.</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Indemnification and Intermediary Third-Party Risk</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collapse of FinTech middleware providers, such as the high-profile Synapse Financial Technologies bankruptcy, highlights the severe regulatory and civil risks of acting as an intermediary layer between users and regulated financial institutions.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When responsibilities are contractually dispersed between a SaaS platform and a partner broker-dealer, plaintiffs will inevitably pursue all parties in the chain, leaving courts to untangle overlapping duties.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this, the SaaS platform must recognize its position in the ecosystem. Partner broker-dealers possess significant leverage and their enterprise API agreements will force the SaaS platform to indemnify the broker against any claims arising from the SaaS software's failure.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Regulators are increasingly penalizing banks and brokers directly for failing to manage third-party FinTech risk, meaning brokers are highly trigger-happy in shutting down non-compliant API partners.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reality makes the downstream clickwrap agreement between the SaaS platform and the retail user the ultimate bulkhead protecting the company's treasury. If the platform is forced to indemnify the broker, the platform's only defense is the strict liability caps established in its own Terms of Service.</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Forensic Event Logging and Immutable Audit Trails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user proceeds to arbitration claiming that the platform "auto-executed a trade without my permission" or that "the stop-loss failed to fire," the platform cannot rely on legal rhetoric, Terms of Service, and UI design alone. It must produce irrefutable, cryptographically secure digital evidence proving that the system operated exactly as advertised and that the user was the sole initiator of the action.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backend infrastructure must be designed not just for high-throughput market routing, but for forensic defensibility in a legal setting. The implementation of immutable audit trails is an evidentiary requirement for proving the platform acted strictly as a Neutral Tool and a mere conduit for user commands.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Bitemporal Ledger Schemas and Database Immutability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relational database structures (such as basic SQL tables) that allow uninhibited UPDATE or DELETE commands are entirely insufficient for regulatory compliance. A plaintiff's attorney will successfully argue that standard database logs could have been easily altered, deleted, or manipulated post-incident to cover up a software failure.</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must employ an append-only, bitemporal ledger system, frequently utilizing PostgreSQL's native JSONB support to ensure data immutability.</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database schema should be divided into two primary, interconnected structures:</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Snapshots (entity_facet_snapshots):</w:t>
      </w:r>
      <w:r w:rsidDel="00000000" w:rsidR="00000000" w:rsidRPr="00000000">
        <w:rPr>
          <w:rFonts w:ascii="Google Sans" w:cs="Google Sans" w:eastAsia="Google Sans" w:hAnsi="Google Sans"/>
          <w:color w:val="1f1f1f"/>
          <w:rtl w:val="0"/>
        </w:rPr>
        <w:t xml:space="preserve"> This table stores the complete, baseline state of a user's configuration, account status, or active orders at a specific, localized timestamp.</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Deltas (entity_facet_deltas):</w:t>
      </w:r>
      <w:r w:rsidDel="00000000" w:rsidR="00000000" w:rsidRPr="00000000">
        <w:rPr>
          <w:rFonts w:ascii="Google Sans" w:cs="Google Sans" w:eastAsia="Google Sans" w:hAnsi="Google Sans"/>
          <w:color w:val="1f1f1f"/>
          <w:rtl w:val="0"/>
        </w:rPr>
        <w:t xml:space="preserve"> This functions as an append-only ledger of JSON Patch operations. Every time a user changes a parameter (e.g., modifying a limit price, clicking a button), a new row is added recording only the delta (the exact change). It references the parent snapshot via a snapshot_id and carries a precise timestamp.</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data is never overwritten or deleted, forensic engineering teams can execute temporal queries to perfectly reconstruct the exact state of the UI and the backend logic at any given microsecond surrounding the incident.</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Zero-Trust Telemetry and Cryptographic Identity</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AI agent architectures require a zero-trust approach to logging. The key to a useful audit trail is the ability to correlate events across different internal microservices.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system should assign a unique cryptographic SPIFFE ID to internal agents and routing modules.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When an order is generated and routed, the logs must record the exact SVID issuance, the authorization decisions (allow/deny) made by the risk engine, and the requesting agent's SPIFFE ID.</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This proves exactly which piece of software touched the data payload before it left the platform.</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Event Log Typologies for Evidentiary Defense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definitively shield the LLC, the backend must permanently store specific telemetry parameters for every single user interaction. An API routing event log must include: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Field Required in Audit Trail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Forensic Purpose in Litigation / Arbitration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Unique User ID &amp; Cryptographic Session Token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Proves the exact authenticated account that initiated the action, defending against claims of account hijacking.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Timestamp (Millisecond precision)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Proves the exact chronological sequence of the user's click versus the API transmission versus the broker's acknowledgment.</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IP Address &amp; Browser User-Agent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Proves the physical network and device originating the request, defending against claims of platform-initiated "auto-trading".</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UI Coordinate Click-Log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Records the exact X/Y coordinates of the user's cursor when clicking "Execute," proving affirmative, physical human intent rather than algorithmic automation.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Raw JSON Payload (Outbound)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exact string of data (Ticker, Price, Size, Order Type) sent to the broker API, proving the platform did not alter the user's parameters.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Broker HTTP Status &amp; Response Payload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exact acknowledgment receipt, error code, or order ID returned by the broker-dealer (e.g., 200 OK or 503 Service Unavailable).</w:t>
            </w:r>
          </w:p>
        </w:tc>
      </w:tr>
    </w:tbl>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 Reconstructing a Flash Crash Failure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the previous scenario: the user initiates arbitration claiming a $50,000 loss because a Stop-Loss failed to execute. In discovery, the company will extract the immutable bitemporal logs for that specific User ID.</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logs may reveal the following irrefutable sequence:</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10:01:45.123 - User clicks "Submit Stop-Loss". The UI Coordinate log confirms human physical action. The IP address matches the user's known home network.</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10:01:45.125 - SaaS platform backend constructs the exact JSON payload defined by the user and triggers the POST /v2/orders endpoint to the broker API.</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10:01:45.201 - The downstream Broker API responds with HTTP 503 Service Unavailable due to a market-wide liquidity halt.</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10:01:45.203 - SaaS platform immediately logs the failure, updates the UI to display "Broker API Error," and records the prompt presentation of this error to the user's screen.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scenario, the immutable logs unequivocally prove that the SaaS software performed its routing function flawlessly, that it did not exercise discretion, and that the critical failure occurred entirely on the third-party broker's infrastructure. Combined with the Terms of Service limitation of liability regarding third-party API failures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and the class-action waiver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arbitrator is presented with an airtight, mathematically verifiable defense. This results in an immediate dismissal of the claim against the SaaS entity, fully protecting the enterprise from the inherent chaos of the financial markets.</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spotlight-publisher-exclusion.pdf - Interactive Brokers, accessed May 18, 2026, </w:t>
      </w:r>
      <w:hyperlink r:id="rId6">
        <w:r w:rsidDel="00000000" w:rsidR="00000000" w:rsidRPr="00000000">
          <w:rPr>
            <w:rFonts w:ascii="Google Sans" w:cs="Google Sans" w:eastAsia="Google Sans" w:hAnsi="Google Sans"/>
            <w:color w:val="0000ee"/>
            <w:sz w:val="24"/>
            <w:szCs w:val="24"/>
            <w:u w:val="single"/>
            <w:rtl w:val="0"/>
          </w:rPr>
          <w:t xml:space="preserve">https://www.interactivebrokers.com/webinars/spotlight-publisher-exclusion.pdf</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Administrative Proceeding: Weiss Research, Inc., Martin Weiss and Lawrence Edelson - SEC.gov, accessed May 18, 2026, </w:t>
      </w:r>
      <w:hyperlink r:id="rId7">
        <w:r w:rsidDel="00000000" w:rsidR="00000000" w:rsidRPr="00000000">
          <w:rPr>
            <w:rFonts w:ascii="Google Sans" w:cs="Google Sans" w:eastAsia="Google Sans" w:hAnsi="Google Sans"/>
            <w:color w:val="0000ee"/>
            <w:sz w:val="24"/>
            <w:szCs w:val="24"/>
            <w:u w:val="single"/>
            <w:rtl w:val="0"/>
          </w:rPr>
          <w:t xml:space="preserve">https://www.sec.gov/files/litigation/admin/2006/ia-2525.pdf</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July 10, 2006 In the Matter of Weiss Research: Financial Newsletter ..., accessed May 18, 2026, </w:t>
      </w:r>
      <w:hyperlink r:id="rId8">
        <w:r w:rsidDel="00000000" w:rsidR="00000000" w:rsidRPr="00000000">
          <w:rPr>
            <w:rFonts w:ascii="Google Sans" w:cs="Google Sans" w:eastAsia="Google Sans" w:hAnsi="Google Sans"/>
            <w:color w:val="0000ee"/>
            <w:sz w:val="24"/>
            <w:szCs w:val="24"/>
            <w:u w:val="single"/>
            <w:rtl w:val="0"/>
          </w:rPr>
          <w:t xml:space="preserve">https://static.cahill.com/docs/CGR%20Firm%20Memo%20-%20In%20the%20Matter%20of%20Weiss%20Research%20Financial%20Newsletter%20Publisher%20Sanctioned%20as%20an%20Unregistered%20Investment%20Adviser.pdf</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Register, Volume 61 Issue 158 (Wednesday, August 14, 1996) - GovInfo, accessed May 18, 2026, </w:t>
      </w:r>
      <w:hyperlink r:id="rId9">
        <w:r w:rsidDel="00000000" w:rsidR="00000000" w:rsidRPr="00000000">
          <w:rPr>
            <w:rFonts w:ascii="Google Sans" w:cs="Google Sans" w:eastAsia="Google Sans" w:hAnsi="Google Sans"/>
            <w:color w:val="0000ee"/>
            <w:sz w:val="24"/>
            <w:szCs w:val="24"/>
            <w:u w:val="single"/>
            <w:rtl w:val="0"/>
          </w:rPr>
          <w:t xml:space="preserve">https://www.govinfo.gov/content/pkg/FR-1996-08-14/html/96-20691.htm</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Request for Comment on Certain Information Providers Acting as Investment Advisers, accessed May 18, 2026, </w:t>
      </w:r>
      <w:hyperlink r:id="rId10">
        <w:r w:rsidDel="00000000" w:rsidR="00000000" w:rsidRPr="00000000">
          <w:rPr>
            <w:rFonts w:ascii="Google Sans" w:cs="Google Sans" w:eastAsia="Google Sans" w:hAnsi="Google Sans"/>
            <w:color w:val="0000ee"/>
            <w:sz w:val="24"/>
            <w:szCs w:val="24"/>
            <w:u w:val="single"/>
            <w:rtl w:val="0"/>
          </w:rPr>
          <w:t xml:space="preserve">https://www.federalregister.gov/documents/2022/06/22/2022-13307/request-for-comment-on-certain-information-providers-acting-as-investment-advisers</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Erika Moore Vice President, Deputy General Counsel, and Corporate Secretary 805 King Farm Boulevard Rockville, MD 20850 P: (30 - SEC.gov, accessed May 18, 2026, </w:t>
      </w:r>
      <w:hyperlink r:id="rId11">
        <w:r w:rsidDel="00000000" w:rsidR="00000000" w:rsidRPr="00000000">
          <w:rPr>
            <w:rFonts w:ascii="Google Sans" w:cs="Google Sans" w:eastAsia="Google Sans" w:hAnsi="Google Sans"/>
            <w:color w:val="0000ee"/>
            <w:sz w:val="24"/>
            <w:szCs w:val="24"/>
            <w:u w:val="single"/>
            <w:rtl w:val="0"/>
          </w:rPr>
          <w:t xml:space="preserve">https://www.sec.gov/comments/s7-18-22/s71822-20137883-308207.pdf</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Judge Dismisses Case Against Seeking Alpha: Implications for Publishers of Financial Information | Katten Muchin Rosenman LLP, accessed May 18, 2026, </w:t>
      </w:r>
      <w:hyperlink r:id="rId12">
        <w:r w:rsidDel="00000000" w:rsidR="00000000" w:rsidRPr="00000000">
          <w:rPr>
            <w:rFonts w:ascii="Google Sans" w:cs="Google Sans" w:eastAsia="Google Sans" w:hAnsi="Google Sans"/>
            <w:color w:val="0000ee"/>
            <w:sz w:val="24"/>
            <w:szCs w:val="24"/>
            <w:u w:val="single"/>
            <w:rtl w:val="0"/>
          </w:rPr>
          <w:t xml:space="preserve">https://katten.com/judge-dismisses-case-against-seeking-alpha-implications-for-publishers-of-financial-information</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Lingley et al v. Seeking Alpha Inc., No. 1:2023cv05849 - Document 37 (S.D.N.Y. 2024), accessed May 18, 2026, </w:t>
      </w:r>
      <w:hyperlink r:id="rId13">
        <w:r w:rsidDel="00000000" w:rsidR="00000000" w:rsidRPr="00000000">
          <w:rPr>
            <w:rFonts w:ascii="Google Sans" w:cs="Google Sans" w:eastAsia="Google Sans" w:hAnsi="Google Sans"/>
            <w:color w:val="0000ee"/>
            <w:sz w:val="24"/>
            <w:szCs w:val="24"/>
            <w:u w:val="single"/>
            <w:rtl w:val="0"/>
          </w:rPr>
          <w:t xml:space="preserve">https://law.justia.com/cases/federal/district-courts/new-york/nysdce/1:2023cv05849/601791/37/</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 Clears a Path for Crypto Trading Apps — And Signals Where It's Heading Next, accessed May 18, 2026, </w:t>
      </w:r>
      <w:hyperlink r:id="rId14">
        <w:r w:rsidDel="00000000" w:rsidR="00000000" w:rsidRPr="00000000">
          <w:rPr>
            <w:rFonts w:ascii="Google Sans" w:cs="Google Sans" w:eastAsia="Google Sans" w:hAnsi="Google Sans"/>
            <w:color w:val="0000ee"/>
            <w:sz w:val="24"/>
            <w:szCs w:val="24"/>
            <w:u w:val="single"/>
            <w:rtl w:val="0"/>
          </w:rPr>
          <w:t xml:space="preserve">https://www.foxrothschild.com/publications/sec-clears-a-path-for-crypto-trading-apps-and-signals-where-its-heading-next</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Trading App Statement Advances SEC's New Direction - Fox Rothschild LLP, accessed May 18, 2026, </w:t>
      </w:r>
      <w:hyperlink r:id="rId15">
        <w:r w:rsidDel="00000000" w:rsidR="00000000" w:rsidRPr="00000000">
          <w:rPr>
            <w:rFonts w:ascii="Google Sans" w:cs="Google Sans" w:eastAsia="Google Sans" w:hAnsi="Google Sans"/>
            <w:color w:val="0000ee"/>
            <w:sz w:val="24"/>
            <w:szCs w:val="24"/>
            <w:u w:val="single"/>
            <w:rtl w:val="0"/>
          </w:rPr>
          <w:t xml:space="preserve">https://www.foxrothschild.com/publications/crypto-trading-app-statement-advances-secs-new-direction</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 Unshackles Digital Asset Interfaces — What the New Broker-Dealer Guidance Means for DeFi and Every Digital Asset Platform | Paul Hastings LLP, accessed May 18, 2026, </w:t>
      </w:r>
      <w:hyperlink r:id="rId16">
        <w:r w:rsidDel="00000000" w:rsidR="00000000" w:rsidRPr="00000000">
          <w:rPr>
            <w:rFonts w:ascii="Google Sans" w:cs="Google Sans" w:eastAsia="Google Sans" w:hAnsi="Google Sans"/>
            <w:color w:val="0000ee"/>
            <w:sz w:val="24"/>
            <w:szCs w:val="24"/>
            <w:u w:val="single"/>
            <w:rtl w:val="0"/>
          </w:rPr>
          <w:t xml:space="preserve">https://www.paulhastings.com/insights/client-alerts/sec-unshackles-digital-asset-interfaces-what-the-new-broker-dealer-guidance-means-for-defi-and-every-digital-asset-platform</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Harvard Law School Corporate Governance Roundtable March 14-15, 2023 Background Materials, accessed May 18, 2026, </w:t>
      </w:r>
      <w:hyperlink r:id="rId17">
        <w:r w:rsidDel="00000000" w:rsidR="00000000" w:rsidRPr="00000000">
          <w:rPr>
            <w:rFonts w:ascii="Google Sans" w:cs="Google Sans" w:eastAsia="Google Sans" w:hAnsi="Google Sans"/>
            <w:color w:val="0000ee"/>
            <w:sz w:val="24"/>
            <w:szCs w:val="24"/>
            <w:u w:val="single"/>
            <w:rtl w:val="0"/>
          </w:rPr>
          <w:t xml:space="preserve">https://pcg.law.harvard.edu/wp-content/uploads/2023/01/March-15-2023-materials.pdf</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Exhibit 1 Redacted Part 1 - Commonwealth of Pennsylvania, accessed May 18, 2026, </w:t>
      </w:r>
      <w:hyperlink r:id="rId18">
        <w:r w:rsidDel="00000000" w:rsidR="00000000" w:rsidRPr="00000000">
          <w:rPr>
            <w:rFonts w:ascii="Google Sans" w:cs="Google Sans" w:eastAsia="Google Sans" w:hAnsi="Google Sans"/>
            <w:color w:val="0000ee"/>
            <w:sz w:val="24"/>
            <w:szCs w:val="24"/>
            <w:u w:val="single"/>
            <w:rtl w:val="0"/>
          </w:rPr>
          <w:t xml:space="preserve">https://www.pa.gov/content/dam/copapwp-pagov/en/psers/documents/about/exhibit/exhibit%201%20part%201%20-%20redacted.pdf</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 Proposes Sweeping New Rules on Use of Data Analytics by Broker-Dealers and Investment Advisers | Insights | Sidley Austin LLP, accessed May 18, 2026, </w:t>
      </w:r>
      <w:hyperlink r:id="rId19">
        <w:r w:rsidDel="00000000" w:rsidR="00000000" w:rsidRPr="00000000">
          <w:rPr>
            <w:rFonts w:ascii="Google Sans" w:cs="Google Sans" w:eastAsia="Google Sans" w:hAnsi="Google Sans"/>
            <w:color w:val="0000ee"/>
            <w:sz w:val="24"/>
            <w:szCs w:val="24"/>
            <w:u w:val="single"/>
            <w:rtl w:val="0"/>
          </w:rPr>
          <w:t xml:space="preserve">https://www.sidley.com/en/insights/newsupdates/2023/08/sec-proposes-sweeping-new-rules-on-use-of-data-analytics-by-broker-dealers-and-investment-advisers</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ICI Comment Letter with SEC on Predictive Data Analytics Proposal, accessed May 18, 2026, </w:t>
      </w:r>
      <w:hyperlink r:id="rId20">
        <w:r w:rsidDel="00000000" w:rsidR="00000000" w:rsidRPr="00000000">
          <w:rPr>
            <w:rFonts w:ascii="Google Sans" w:cs="Google Sans" w:eastAsia="Google Sans" w:hAnsi="Google Sans"/>
            <w:color w:val="0000ee"/>
            <w:sz w:val="24"/>
            <w:szCs w:val="24"/>
            <w:u w:val="single"/>
            <w:rtl w:val="0"/>
          </w:rPr>
          <w:t xml:space="preserve">https://www.ici.org/letters/23-cl-pda-proposal</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Recommendation regarding Digital Engagement Practices - SEC.gov, accessed May 18, 2026, </w:t>
      </w:r>
      <w:hyperlink r:id="rId21">
        <w:r w:rsidDel="00000000" w:rsidR="00000000" w:rsidRPr="00000000">
          <w:rPr>
            <w:rFonts w:ascii="Google Sans" w:cs="Google Sans" w:eastAsia="Google Sans" w:hAnsi="Google Sans"/>
            <w:color w:val="0000ee"/>
            <w:sz w:val="24"/>
            <w:szCs w:val="24"/>
            <w:u w:val="single"/>
            <w:rtl w:val="0"/>
          </w:rPr>
          <w:t xml:space="preserve">https://www.sec.gov/files/20231117-recommendation-use-dep.pdf</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SEC's New Rules on Use of Data Analytics by Broker-Dealers and Investment Advisers, accessed May 18, 2026, </w:t>
      </w:r>
      <w:hyperlink r:id="rId22">
        <w:r w:rsidDel="00000000" w:rsidR="00000000" w:rsidRPr="00000000">
          <w:rPr>
            <w:rFonts w:ascii="Google Sans" w:cs="Google Sans" w:eastAsia="Google Sans" w:hAnsi="Google Sans"/>
            <w:color w:val="0000ee"/>
            <w:sz w:val="24"/>
            <w:szCs w:val="24"/>
            <w:u w:val="single"/>
            <w:rtl w:val="0"/>
          </w:rPr>
          <w:t xml:space="preserve">https://corpgov.law.harvard.edu/2023/08/26/secs-new-rules-on-use-of-data-analytics-by-broker-dealers-and-investment-advisers/</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Risk Management Lawsuits: What They've Taught Us - Hyperproof, accessed May 18, 2026, </w:t>
      </w:r>
      <w:hyperlink r:id="rId23">
        <w:r w:rsidDel="00000000" w:rsidR="00000000" w:rsidRPr="00000000">
          <w:rPr>
            <w:rFonts w:ascii="Google Sans" w:cs="Google Sans" w:eastAsia="Google Sans" w:hAnsi="Google Sans"/>
            <w:color w:val="0000ee"/>
            <w:sz w:val="24"/>
            <w:szCs w:val="24"/>
            <w:u w:val="single"/>
            <w:rtl w:val="0"/>
          </w:rPr>
          <w:t xml:space="preserve">https://hyperproof.io/resource/ai-risk-management-lawsuits-what-they-have-taught-us/</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Automated Trading? How Automated Trading Works in 2026, accessed May 18, 2026, </w:t>
      </w:r>
      <w:hyperlink r:id="rId24">
        <w:r w:rsidDel="00000000" w:rsidR="00000000" w:rsidRPr="00000000">
          <w:rPr>
            <w:rFonts w:ascii="Google Sans" w:cs="Google Sans" w:eastAsia="Google Sans" w:hAnsi="Google Sans"/>
            <w:color w:val="0000ee"/>
            <w:sz w:val="24"/>
            <w:szCs w:val="24"/>
            <w:u w:val="single"/>
            <w:rtl w:val="0"/>
          </w:rPr>
          <w:t xml:space="preserve">https://nurp.com/algorithmic-trading-blog/why-automated-trading-is-evolving-so-fast/</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Automated Trading Platforms in 2025: In-Depth Comparison for Broker-Dealers - ETNA, accessed May 18, 2026, </w:t>
      </w:r>
      <w:hyperlink r:id="rId25">
        <w:r w:rsidDel="00000000" w:rsidR="00000000" w:rsidRPr="00000000">
          <w:rPr>
            <w:rFonts w:ascii="Google Sans" w:cs="Google Sans" w:eastAsia="Google Sans" w:hAnsi="Google Sans"/>
            <w:color w:val="0000ee"/>
            <w:sz w:val="24"/>
            <w:szCs w:val="24"/>
            <w:u w:val="single"/>
            <w:rtl w:val="0"/>
          </w:rPr>
          <w:t xml:space="preserve">https://www.etnasoft.com/best-automated-trading-platforms-in-2025-in-depth-comparison-for-broker-dealers/</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Autonomic Microservices For Capital Markets: Policy-Driven Auto-Scaling With Risk-Aware Constraints - jicrcr, accessed May 18, 2026, </w:t>
      </w:r>
      <w:hyperlink r:id="rId26">
        <w:r w:rsidDel="00000000" w:rsidR="00000000" w:rsidRPr="00000000">
          <w:rPr>
            <w:rFonts w:ascii="Google Sans" w:cs="Google Sans" w:eastAsia="Google Sans" w:hAnsi="Google Sans"/>
            <w:color w:val="0000ee"/>
            <w:sz w:val="24"/>
            <w:szCs w:val="24"/>
            <w:u w:val="single"/>
            <w:rtl w:val="0"/>
          </w:rPr>
          <w:t xml:space="preserve">https://jicrcr.com/index.php/jicrcr/article/download/3534/2998/7586</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Speed Meets Stability: Resilience Lessons From Fintech Trading Firms - Forbes, accessed May 18, 2026, </w:t>
      </w:r>
      <w:hyperlink r:id="rId27">
        <w:r w:rsidDel="00000000" w:rsidR="00000000" w:rsidRPr="00000000">
          <w:rPr>
            <w:rFonts w:ascii="Google Sans" w:cs="Google Sans" w:eastAsia="Google Sans" w:hAnsi="Google Sans"/>
            <w:color w:val="0000ee"/>
            <w:sz w:val="24"/>
            <w:szCs w:val="24"/>
            <w:u w:val="single"/>
            <w:rtl w:val="0"/>
          </w:rPr>
          <w:t xml:space="preserve">https://www.forbes.com/councils/forbestechcouncil/2025/10/27/when-speed-meets-stability-resilience-lessons-from-fintech-trading-firms/</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Invisible Hand of the Law - Sterling Trading Tech, accessed May 18, 2026, </w:t>
      </w:r>
      <w:hyperlink r:id="rId28">
        <w:r w:rsidDel="00000000" w:rsidR="00000000" w:rsidRPr="00000000">
          <w:rPr>
            <w:rFonts w:ascii="Google Sans" w:cs="Google Sans" w:eastAsia="Google Sans" w:hAnsi="Google Sans"/>
            <w:color w:val="0000ee"/>
            <w:sz w:val="24"/>
            <w:szCs w:val="24"/>
            <w:u w:val="single"/>
            <w:rtl w:val="0"/>
          </w:rPr>
          <w:t xml:space="preserve">https://sterlingtradingtech.com/news-insights/the-invisible-hand-of-the-law</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Final Rule: Risk Management Controls for Brokers or Dealers with Market Access - SEC.gov, accessed May 18, 2026, </w:t>
      </w:r>
      <w:hyperlink r:id="rId29">
        <w:r w:rsidDel="00000000" w:rsidR="00000000" w:rsidRPr="00000000">
          <w:rPr>
            <w:rFonts w:ascii="Google Sans" w:cs="Google Sans" w:eastAsia="Google Sans" w:hAnsi="Google Sans"/>
            <w:color w:val="0000ee"/>
            <w:sz w:val="24"/>
            <w:szCs w:val="24"/>
            <w:u w:val="single"/>
            <w:rtl w:val="0"/>
          </w:rPr>
          <w:t xml:space="preserve">https://www.sec.gov/files/rules/final/2010/34-63241.pdf</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SEC Rule 15c3-5 Compliance with A Reliable OMS - Ionixx Blog, accessed May 18, 2026, </w:t>
      </w:r>
      <w:hyperlink r:id="rId30">
        <w:r w:rsidDel="00000000" w:rsidR="00000000" w:rsidRPr="00000000">
          <w:rPr>
            <w:rFonts w:ascii="Google Sans" w:cs="Google Sans" w:eastAsia="Google Sans" w:hAnsi="Google Sans"/>
            <w:color w:val="0000ee"/>
            <w:sz w:val="24"/>
            <w:szCs w:val="24"/>
            <w:u w:val="single"/>
            <w:rtl w:val="0"/>
          </w:rPr>
          <w:t xml:space="preserve">https://blog.ionixxtech.com/improving-sec-rule-15c3-5-compliance-with-a-reliable-oms/</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Regulation Automated Trading - Federal Register, accessed May 18, 2026, </w:t>
      </w:r>
      <w:hyperlink r:id="rId31">
        <w:r w:rsidDel="00000000" w:rsidR="00000000" w:rsidRPr="00000000">
          <w:rPr>
            <w:rFonts w:ascii="Google Sans" w:cs="Google Sans" w:eastAsia="Google Sans" w:hAnsi="Google Sans"/>
            <w:color w:val="0000ee"/>
            <w:sz w:val="24"/>
            <w:szCs w:val="24"/>
            <w:u w:val="single"/>
            <w:rtl w:val="0"/>
          </w:rPr>
          <w:t xml:space="preserve">https://www.federalregister.gov/documents/2015/12/17/2015-30533/regulation-automated-trading</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FINRA Retires the PDT Rule: Introducing Alpaca's New Intraday Margin Framework, accessed May 18, 2026, </w:t>
      </w:r>
      <w:hyperlink r:id="rId32">
        <w:r w:rsidDel="00000000" w:rsidR="00000000" w:rsidRPr="00000000">
          <w:rPr>
            <w:rFonts w:ascii="Google Sans" w:cs="Google Sans" w:eastAsia="Google Sans" w:hAnsi="Google Sans"/>
            <w:color w:val="0000ee"/>
            <w:sz w:val="24"/>
            <w:szCs w:val="24"/>
            <w:u w:val="single"/>
            <w:rtl w:val="0"/>
          </w:rPr>
          <w:t xml:space="preserve">https://alpaca.markets/blog/finra-retires-the-pdt-rule-introducing-alpacas-new-intraday-margin-framework/</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Clickwrap vs Browsewrap: Choosing the Right Online Agreement for Your Business - Sirion, accessed May 18, 2026, </w:t>
      </w:r>
      <w:hyperlink r:id="rId33">
        <w:r w:rsidDel="00000000" w:rsidR="00000000" w:rsidRPr="00000000">
          <w:rPr>
            <w:rFonts w:ascii="Google Sans" w:cs="Google Sans" w:eastAsia="Google Sans" w:hAnsi="Google Sans"/>
            <w:color w:val="0000ee"/>
            <w:sz w:val="24"/>
            <w:szCs w:val="24"/>
            <w:u w:val="single"/>
            <w:rtl w:val="0"/>
          </w:rPr>
          <w:t xml:space="preserve">https://www.sirion.ai/library/contract-management/clickwrap-vs-browsewrap/</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B2C contracts and clickwrap terms - Travers Smith, accessed May 18, 2026, </w:t>
      </w:r>
      <w:hyperlink r:id="rId34">
        <w:r w:rsidDel="00000000" w:rsidR="00000000" w:rsidRPr="00000000">
          <w:rPr>
            <w:rFonts w:ascii="Google Sans" w:cs="Google Sans" w:eastAsia="Google Sans" w:hAnsi="Google Sans"/>
            <w:color w:val="0000ee"/>
            <w:sz w:val="24"/>
            <w:szCs w:val="24"/>
            <w:u w:val="single"/>
            <w:rtl w:val="0"/>
          </w:rPr>
          <w:t xml:space="preserve">https://www.traverssmith.com/knowledge/knowledge-container/b2c-contracts-and-clickwrap-terms-the-1-million-lottery-case-and-what-you-can-learn-from-it/</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Crypto Bankruptcy Wave - American Bar Association, accessed May 18, 2026, </w:t>
      </w:r>
      <w:hyperlink r:id="rId35">
        <w:r w:rsidDel="00000000" w:rsidR="00000000" w:rsidRPr="00000000">
          <w:rPr>
            <w:rFonts w:ascii="Google Sans" w:cs="Google Sans" w:eastAsia="Google Sans" w:hAnsi="Google Sans"/>
            <w:color w:val="0000ee"/>
            <w:sz w:val="24"/>
            <w:szCs w:val="24"/>
            <w:u w:val="single"/>
            <w:rtl w:val="0"/>
          </w:rPr>
          <w:t xml:space="preserve">https://www.americanbar.org/groups/business_law/resources/business-law-today/2023-march/the-crypto-bankruptcy-wave/</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BitGo Tech General Terms and Conditions for Services, accessed May 18, 2026, </w:t>
      </w:r>
      <w:hyperlink r:id="rId36">
        <w:r w:rsidDel="00000000" w:rsidR="00000000" w:rsidRPr="00000000">
          <w:rPr>
            <w:rFonts w:ascii="Google Sans" w:cs="Google Sans" w:eastAsia="Google Sans" w:hAnsi="Google Sans"/>
            <w:color w:val="0000ee"/>
            <w:sz w:val="24"/>
            <w:szCs w:val="24"/>
            <w:u w:val="single"/>
            <w:rtl w:val="0"/>
          </w:rPr>
          <w:t xml:space="preserve">https://www.bitgo.com/legal/bitgo-tech-general-terms-and-conditions-for-services/</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Contract Lifecycle Management Best Practices: Essential Tips - Malbek CLM, accessed May 18, 2026, </w:t>
      </w:r>
      <w:hyperlink r:id="rId37">
        <w:r w:rsidDel="00000000" w:rsidR="00000000" w:rsidRPr="00000000">
          <w:rPr>
            <w:rFonts w:ascii="Google Sans" w:cs="Google Sans" w:eastAsia="Google Sans" w:hAnsi="Google Sans"/>
            <w:color w:val="0000ee"/>
            <w:sz w:val="24"/>
            <w:szCs w:val="24"/>
            <w:u w:val="single"/>
            <w:rtl w:val="0"/>
          </w:rPr>
          <w:t xml:space="preserve">https://www.malbek.io/blog/7-clm-best-practices</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Supplemental Technical Framework: Institutional Signatory Integrity &amp; Authentication Protocols - SEC.gov, accessed May 18, 2026, </w:t>
      </w:r>
      <w:hyperlink r:id="rId38">
        <w:r w:rsidDel="00000000" w:rsidR="00000000" w:rsidRPr="00000000">
          <w:rPr>
            <w:rFonts w:ascii="Google Sans" w:cs="Google Sans" w:eastAsia="Google Sans" w:hAnsi="Google Sans"/>
            <w:color w:val="0000ee"/>
            <w:sz w:val="24"/>
            <w:szCs w:val="24"/>
            <w:u w:val="single"/>
            <w:rtl w:val="0"/>
          </w:rPr>
          <w:t xml:space="preserve">https://www.sec.gov/files/ctf-written-supplemental-framework-institutional-signatory-integrity-12-14-2025.pdf</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Developing Litigation Issues - Insights - Proskauer Rose LLP, accessed May 18, 2026, </w:t>
      </w:r>
      <w:hyperlink r:id="rId39">
        <w:r w:rsidDel="00000000" w:rsidR="00000000" w:rsidRPr="00000000">
          <w:rPr>
            <w:rFonts w:ascii="Google Sans" w:cs="Google Sans" w:eastAsia="Google Sans" w:hAnsi="Google Sans"/>
            <w:color w:val="0000ee"/>
            <w:sz w:val="24"/>
            <w:szCs w:val="24"/>
            <w:u w:val="single"/>
            <w:rtl w:val="0"/>
          </w:rPr>
          <w:t xml:space="preserve">https://www.proskauer.com/pub/developing-litigation-issues</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Terms &amp; Privacy - AlpacaHack, accessed May 18, 2026, </w:t>
      </w:r>
      <w:hyperlink r:id="rId40">
        <w:r w:rsidDel="00000000" w:rsidR="00000000" w:rsidRPr="00000000">
          <w:rPr>
            <w:rFonts w:ascii="Google Sans" w:cs="Google Sans" w:eastAsia="Google Sans" w:hAnsi="Google Sans"/>
            <w:color w:val="0000ee"/>
            <w:sz w:val="24"/>
            <w:szCs w:val="24"/>
            <w:u w:val="single"/>
            <w:rtl w:val="0"/>
          </w:rPr>
          <w:t xml:space="preserve">https://alpacahack.com/terms-and-privacy</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License 2.0 - alpacahq/alpaca-trade-api-js · GitHub, accessed May 18, 2026, </w:t>
      </w:r>
      <w:hyperlink r:id="rId41">
        <w:r w:rsidDel="00000000" w:rsidR="00000000" w:rsidRPr="00000000">
          <w:rPr>
            <w:rFonts w:ascii="Google Sans" w:cs="Google Sans" w:eastAsia="Google Sans" w:hAnsi="Google Sans"/>
            <w:color w:val="0000ee"/>
            <w:sz w:val="24"/>
            <w:szCs w:val="24"/>
            <w:u w:val="single"/>
            <w:rtl w:val="0"/>
          </w:rPr>
          <w:t xml:space="preserve">https://github.com/alpacahq/alpaca-trade-api-js/blob/master/LICENSE</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Alpaca Customer Agreement, accessed May 18, 2026, </w:t>
      </w:r>
      <w:hyperlink r:id="rId42">
        <w:r w:rsidDel="00000000" w:rsidR="00000000" w:rsidRPr="00000000">
          <w:rPr>
            <w:rFonts w:ascii="Google Sans" w:cs="Google Sans" w:eastAsia="Google Sans" w:hAnsi="Google Sans"/>
            <w:color w:val="0000ee"/>
            <w:sz w:val="24"/>
            <w:szCs w:val="24"/>
            <w:u w:val="single"/>
            <w:rtl w:val="0"/>
          </w:rPr>
          <w:t xml:space="preserve">https://files.alpaca.markets/disclosures/library/alpaca_customer_agreement_v20200819.pdf</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Alpaca Account Application Agreement, accessed May 18, 2026, </w:t>
      </w:r>
      <w:hyperlink r:id="rId43">
        <w:r w:rsidDel="00000000" w:rsidR="00000000" w:rsidRPr="00000000">
          <w:rPr>
            <w:rFonts w:ascii="Google Sans" w:cs="Google Sans" w:eastAsia="Google Sans" w:hAnsi="Google Sans"/>
            <w:color w:val="0000ee"/>
            <w:sz w:val="24"/>
            <w:szCs w:val="24"/>
            <w:u w:val="single"/>
            <w:rtl w:val="0"/>
          </w:rPr>
          <w:t xml:space="preserve">https://files.alpaca.markets/disclosures/alpaca_customer_agreement.pdf</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Fintech Legal Counsel: 3 Key Litigation Risks for Investors, accessed May 18, 2026, </w:t>
      </w:r>
      <w:hyperlink r:id="rId44">
        <w:r w:rsidDel="00000000" w:rsidR="00000000" w:rsidRPr="00000000">
          <w:rPr>
            <w:rFonts w:ascii="Google Sans" w:cs="Google Sans" w:eastAsia="Google Sans" w:hAnsi="Google Sans"/>
            <w:color w:val="0000ee"/>
            <w:sz w:val="24"/>
            <w:szCs w:val="24"/>
            <w:u w:val="single"/>
            <w:rtl w:val="0"/>
          </w:rPr>
          <w:t xml:space="preserve">https://www.daeryunlaw.com/us/insights/fintech-legal-counsel-fintech-litigation-law</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Consumer Forum Jurisdiction Over FinTech Apps and Failure of Arbitration Clauses, accessed May 18, 2026, </w:t>
      </w:r>
      <w:hyperlink r:id="rId45">
        <w:r w:rsidDel="00000000" w:rsidR="00000000" w:rsidRPr="00000000">
          <w:rPr>
            <w:rFonts w:ascii="Google Sans" w:cs="Google Sans" w:eastAsia="Google Sans" w:hAnsi="Google Sans"/>
            <w:color w:val="0000ee"/>
            <w:sz w:val="24"/>
            <w:szCs w:val="24"/>
            <w:u w:val="single"/>
            <w:rtl w:val="0"/>
          </w:rPr>
          <w:t xml:space="preserve">https://amlegals.com/consumer-forum-jurisdiction-over-fintech-apps-and-failure-of-arbitration-clauses/</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Terms of Use | Plaid, accessed May 18, 2026, </w:t>
      </w:r>
      <w:hyperlink r:id="rId46">
        <w:r w:rsidDel="00000000" w:rsidR="00000000" w:rsidRPr="00000000">
          <w:rPr>
            <w:rFonts w:ascii="Google Sans" w:cs="Google Sans" w:eastAsia="Google Sans" w:hAnsi="Google Sans"/>
            <w:color w:val="0000ee"/>
            <w:sz w:val="24"/>
            <w:szCs w:val="24"/>
            <w:u w:val="single"/>
            <w:rtl w:val="0"/>
          </w:rPr>
          <w:t xml:space="preserve">https://plaid.com/legal/terms-of-use/</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Virtual asset trading platforms, arbitration and consumer protection - Reed Smith LLP, accessed May 18, 2026, </w:t>
      </w:r>
      <w:hyperlink r:id="rId47">
        <w:r w:rsidDel="00000000" w:rsidR="00000000" w:rsidRPr="00000000">
          <w:rPr>
            <w:rFonts w:ascii="Google Sans" w:cs="Google Sans" w:eastAsia="Google Sans" w:hAnsi="Google Sans"/>
            <w:color w:val="0000ee"/>
            <w:sz w:val="24"/>
            <w:szCs w:val="24"/>
            <w:u w:val="single"/>
            <w:rtl w:val="0"/>
          </w:rPr>
          <w:t xml:space="preserve">https://www.reedsmith.com/articles/virtual-asset-trading-platforms-arbitration-and-consumer-protection/</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Fintech Partnerships Under Scrutiny: Bank–Fintech Liability Allocation | Financial Services Watch Blog | Insights &amp; Events | Bilzin Sumberg, accessed May 18, 2026, </w:t>
      </w:r>
      <w:hyperlink r:id="rId48">
        <w:r w:rsidDel="00000000" w:rsidR="00000000" w:rsidRPr="00000000">
          <w:rPr>
            <w:rFonts w:ascii="Google Sans" w:cs="Google Sans" w:eastAsia="Google Sans" w:hAnsi="Google Sans"/>
            <w:color w:val="0000ee"/>
            <w:sz w:val="24"/>
            <w:szCs w:val="24"/>
            <w:u w:val="single"/>
            <w:rtl w:val="0"/>
          </w:rPr>
          <w:t xml:space="preserve">https://www.bilzin.com/insights/publications/2026/04/bank-fintech-partnerships-liability-allocation</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Securing AI Agents: Foundations, Frameworks, and Real-World Deployment - dokumen.pub, accessed May 18, 2026, </w:t>
      </w:r>
      <w:hyperlink r:id="rId49">
        <w:r w:rsidDel="00000000" w:rsidR="00000000" w:rsidRPr="00000000">
          <w:rPr>
            <w:rFonts w:ascii="Google Sans" w:cs="Google Sans" w:eastAsia="Google Sans" w:hAnsi="Google Sans"/>
            <w:color w:val="0000ee"/>
            <w:sz w:val="24"/>
            <w:szCs w:val="24"/>
            <w:u w:val="single"/>
            <w:rtl w:val="0"/>
          </w:rPr>
          <w:t xml:space="preserve">https://dokumen.pub/securing-ai-agents-foundations-frameworks-and-real-world-deployment.html</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Audit Trail 2026 - American TV, accessed May 18, 2026, </w:t>
      </w:r>
      <w:hyperlink r:id="rId50">
        <w:r w:rsidDel="00000000" w:rsidR="00000000" w:rsidRPr="00000000">
          <w:rPr>
            <w:rFonts w:ascii="Google Sans" w:cs="Google Sans" w:eastAsia="Google Sans" w:hAnsi="Google Sans"/>
            <w:color w:val="0000ee"/>
            <w:sz w:val="24"/>
            <w:szCs w:val="24"/>
            <w:u w:val="single"/>
            <w:rtl w:val="0"/>
          </w:rPr>
          <w:t xml:space="preserve">https://www.americantv.com/audit-trail.php</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Just-in-Time Historical State Reconstruction for Low-Latency Financial Trading with Large Language Models - MDPI, accessed May 18, 2026, </w:t>
      </w:r>
      <w:hyperlink r:id="rId51">
        <w:r w:rsidDel="00000000" w:rsidR="00000000" w:rsidRPr="00000000">
          <w:rPr>
            <w:rFonts w:ascii="Google Sans" w:cs="Google Sans" w:eastAsia="Google Sans" w:hAnsi="Google Sans"/>
            <w:color w:val="0000ee"/>
            <w:sz w:val="24"/>
            <w:szCs w:val="24"/>
            <w:u w:val="single"/>
            <w:rtl w:val="0"/>
          </w:rPr>
          <w:t xml:space="preserve">https://www.mdpi.com/2673-2688/7/4/117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lpacahack.com/terms-and-privacy" TargetMode="External"/><Relationship Id="rId42" Type="http://schemas.openxmlformats.org/officeDocument/2006/relationships/hyperlink" Target="https://files.alpaca.markets/disclosures/library/alpaca_customer_agreement_v20200819.pdf" TargetMode="External"/><Relationship Id="rId41" Type="http://schemas.openxmlformats.org/officeDocument/2006/relationships/hyperlink" Target="https://github.com/alpacahq/alpaca-trade-api-js/blob/master/LICENSE" TargetMode="External"/><Relationship Id="rId44" Type="http://schemas.openxmlformats.org/officeDocument/2006/relationships/hyperlink" Target="https://www.daeryunlaw.com/us/insights/fintech-legal-counsel-fintech-litigation-law" TargetMode="External"/><Relationship Id="rId43" Type="http://schemas.openxmlformats.org/officeDocument/2006/relationships/hyperlink" Target="https://files.alpaca.markets/disclosures/alpaca_customer_agreement.pdf" TargetMode="External"/><Relationship Id="rId46" Type="http://schemas.openxmlformats.org/officeDocument/2006/relationships/hyperlink" Target="https://plaid.com/legal/terms-of-use/" TargetMode="External"/><Relationship Id="rId45" Type="http://schemas.openxmlformats.org/officeDocument/2006/relationships/hyperlink" Target="https://amlegals.com/consumer-forum-jurisdiction-over-fintech-apps-and-failure-of-arbitration-claus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vinfo.gov/content/pkg/FR-1996-08-14/html/96-20691.htm" TargetMode="External"/><Relationship Id="rId48" Type="http://schemas.openxmlformats.org/officeDocument/2006/relationships/hyperlink" Target="https://www.bilzin.com/insights/publications/2026/04/bank-fintech-partnerships-liability-allocation" TargetMode="External"/><Relationship Id="rId47" Type="http://schemas.openxmlformats.org/officeDocument/2006/relationships/hyperlink" Target="https://www.reedsmith.com/articles/virtual-asset-trading-platforms-arbitration-and-consumer-protection/" TargetMode="External"/><Relationship Id="rId49" Type="http://schemas.openxmlformats.org/officeDocument/2006/relationships/hyperlink" Target="https://dokumen.pub/securing-ai-agents-foundations-frameworks-and-real-world-deployment.html" TargetMode="External"/><Relationship Id="rId5" Type="http://schemas.openxmlformats.org/officeDocument/2006/relationships/styles" Target="styles.xml"/><Relationship Id="rId6" Type="http://schemas.openxmlformats.org/officeDocument/2006/relationships/hyperlink" Target="https://www.interactivebrokers.com/webinars/spotlight-publisher-exclusion.pdf" TargetMode="External"/><Relationship Id="rId7" Type="http://schemas.openxmlformats.org/officeDocument/2006/relationships/hyperlink" Target="https://www.sec.gov/files/litigation/admin/2006/ia-2525.pdf" TargetMode="External"/><Relationship Id="rId8" Type="http://schemas.openxmlformats.org/officeDocument/2006/relationships/hyperlink" Target="https://static.cahill.com/docs/CGR%20Firm%20Memo%20-%20In%20the%20Matter%20of%20Weiss%20Research%20Financial%20Newsletter%20Publisher%20Sanctioned%20as%20an%20Unregistered%20Investment%20Adviser.pdf" TargetMode="External"/><Relationship Id="rId31" Type="http://schemas.openxmlformats.org/officeDocument/2006/relationships/hyperlink" Target="https://www.federalregister.gov/documents/2015/12/17/2015-30533/regulation-automated-trading" TargetMode="External"/><Relationship Id="rId30" Type="http://schemas.openxmlformats.org/officeDocument/2006/relationships/hyperlink" Target="https://blog.ionixxtech.com/improving-sec-rule-15c3-5-compliance-with-a-reliable-oms/" TargetMode="External"/><Relationship Id="rId33" Type="http://schemas.openxmlformats.org/officeDocument/2006/relationships/hyperlink" Target="https://www.sirion.ai/library/contract-management/clickwrap-vs-browsewrap/" TargetMode="External"/><Relationship Id="rId32" Type="http://schemas.openxmlformats.org/officeDocument/2006/relationships/hyperlink" Target="https://alpaca.markets/blog/finra-retires-the-pdt-rule-introducing-alpacas-new-intraday-margin-framework/" TargetMode="External"/><Relationship Id="rId35" Type="http://schemas.openxmlformats.org/officeDocument/2006/relationships/hyperlink" Target="https://www.americanbar.org/groups/business_law/resources/business-law-today/2023-march/the-crypto-bankruptcy-wave/" TargetMode="External"/><Relationship Id="rId34" Type="http://schemas.openxmlformats.org/officeDocument/2006/relationships/hyperlink" Target="https://www.traverssmith.com/knowledge/knowledge-container/b2c-contracts-and-clickwrap-terms-the-1-million-lottery-case-and-what-you-can-learn-from-it/" TargetMode="External"/><Relationship Id="rId37" Type="http://schemas.openxmlformats.org/officeDocument/2006/relationships/hyperlink" Target="https://www.malbek.io/blog/7-clm-best-practices" TargetMode="External"/><Relationship Id="rId36" Type="http://schemas.openxmlformats.org/officeDocument/2006/relationships/hyperlink" Target="https://www.bitgo.com/legal/bitgo-tech-general-terms-and-conditions-for-services/" TargetMode="External"/><Relationship Id="rId39" Type="http://schemas.openxmlformats.org/officeDocument/2006/relationships/hyperlink" Target="https://www.proskauer.com/pub/developing-litigation-issues" TargetMode="External"/><Relationship Id="rId38" Type="http://schemas.openxmlformats.org/officeDocument/2006/relationships/hyperlink" Target="https://www.sec.gov/files/ctf-written-supplemental-framework-institutional-signatory-integrity-12-14-2025.pdf" TargetMode="External"/><Relationship Id="rId20" Type="http://schemas.openxmlformats.org/officeDocument/2006/relationships/hyperlink" Target="https://www.ici.org/letters/23-cl-pda-proposal" TargetMode="External"/><Relationship Id="rId22" Type="http://schemas.openxmlformats.org/officeDocument/2006/relationships/hyperlink" Target="https://corpgov.law.harvard.edu/2023/08/26/secs-new-rules-on-use-of-data-analytics-by-broker-dealers-and-investment-advisers/" TargetMode="External"/><Relationship Id="rId21" Type="http://schemas.openxmlformats.org/officeDocument/2006/relationships/hyperlink" Target="https://www.sec.gov/files/20231117-recommendation-use-dep.pdf" TargetMode="External"/><Relationship Id="rId24" Type="http://schemas.openxmlformats.org/officeDocument/2006/relationships/hyperlink" Target="https://nurp.com/algorithmic-trading-blog/why-automated-trading-is-evolving-so-fast/" TargetMode="External"/><Relationship Id="rId23" Type="http://schemas.openxmlformats.org/officeDocument/2006/relationships/hyperlink" Target="https://hyperproof.io/resource/ai-risk-management-lawsuits-what-they-have-taught-us/" TargetMode="External"/><Relationship Id="rId26" Type="http://schemas.openxmlformats.org/officeDocument/2006/relationships/hyperlink" Target="https://jicrcr.com/index.php/jicrcr/article/download/3534/2998/7586" TargetMode="External"/><Relationship Id="rId25" Type="http://schemas.openxmlformats.org/officeDocument/2006/relationships/hyperlink" Target="https://www.etnasoft.com/best-automated-trading-platforms-in-2025-in-depth-comparison-for-broker-dealers/" TargetMode="External"/><Relationship Id="rId28" Type="http://schemas.openxmlformats.org/officeDocument/2006/relationships/hyperlink" Target="https://sterlingtradingtech.com/news-insights/the-invisible-hand-of-the-law" TargetMode="External"/><Relationship Id="rId27" Type="http://schemas.openxmlformats.org/officeDocument/2006/relationships/hyperlink" Target="https://www.forbes.com/councils/forbestechcouncil/2025/10/27/when-speed-meets-stability-resilience-lessons-from-fintech-trading-firms/" TargetMode="External"/><Relationship Id="rId29" Type="http://schemas.openxmlformats.org/officeDocument/2006/relationships/hyperlink" Target="https://www.sec.gov/files/rules/final/2010/34-63241.pdf" TargetMode="External"/><Relationship Id="rId51" Type="http://schemas.openxmlformats.org/officeDocument/2006/relationships/hyperlink" Target="https://www.mdpi.com/2673-2688/7/4/117" TargetMode="External"/><Relationship Id="rId50" Type="http://schemas.openxmlformats.org/officeDocument/2006/relationships/hyperlink" Target="https://www.americantv.com/audit-trail.php" TargetMode="External"/><Relationship Id="rId11" Type="http://schemas.openxmlformats.org/officeDocument/2006/relationships/hyperlink" Target="https://www.sec.gov/comments/s7-18-22/s71822-20137883-308207.pdf" TargetMode="External"/><Relationship Id="rId10" Type="http://schemas.openxmlformats.org/officeDocument/2006/relationships/hyperlink" Target="https://www.federalregister.gov/documents/2022/06/22/2022-13307/request-for-comment-on-certain-information-providers-acting-as-investment-advisers" TargetMode="External"/><Relationship Id="rId13" Type="http://schemas.openxmlformats.org/officeDocument/2006/relationships/hyperlink" Target="https://law.justia.com/cases/federal/district-courts/new-york/nysdce/1:2023cv05849/601791/37/" TargetMode="External"/><Relationship Id="rId12" Type="http://schemas.openxmlformats.org/officeDocument/2006/relationships/hyperlink" Target="https://katten.com/judge-dismisses-case-against-seeking-alpha-implications-for-publishers-of-financial-information" TargetMode="External"/><Relationship Id="rId15" Type="http://schemas.openxmlformats.org/officeDocument/2006/relationships/hyperlink" Target="https://www.foxrothschild.com/publications/crypto-trading-app-statement-advances-secs-new-direction" TargetMode="External"/><Relationship Id="rId14" Type="http://schemas.openxmlformats.org/officeDocument/2006/relationships/hyperlink" Target="https://www.foxrothschild.com/publications/sec-clears-a-path-for-crypto-trading-apps-and-signals-where-its-heading-next" TargetMode="External"/><Relationship Id="rId17" Type="http://schemas.openxmlformats.org/officeDocument/2006/relationships/hyperlink" Target="https://pcg.law.harvard.edu/wp-content/uploads/2023/01/March-15-2023-materials.pdf" TargetMode="External"/><Relationship Id="rId16" Type="http://schemas.openxmlformats.org/officeDocument/2006/relationships/hyperlink" Target="https://www.paulhastings.com/insights/client-alerts/sec-unshackles-digital-asset-interfaces-what-the-new-broker-dealer-guidance-means-for-defi-and-every-digital-asset-platform" TargetMode="External"/><Relationship Id="rId19" Type="http://schemas.openxmlformats.org/officeDocument/2006/relationships/hyperlink" Target="https://www.sidley.com/en/insights/newsupdates/2023/08/sec-proposes-sweeping-new-rules-on-use-of-data-analytics-by-broker-dealers-and-investment-advisers" TargetMode="External"/><Relationship Id="rId18" Type="http://schemas.openxmlformats.org/officeDocument/2006/relationships/hyperlink" Target="https://www.pa.gov/content/dam/copapwp-pagov/en/psers/documents/about/exhibit/exhibit%201%20part%201%20-%20redacted.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