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AURELIUS: MASTER SYSTEM SPECIFICATION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CLASSIFICATION:</w:t>
      </w:r>
      <w:r w:rsidDel="00000000" w:rsidR="00000000" w:rsidRPr="00000000">
        <w:rPr>
          <w:rFonts w:ascii="Google Sans" w:cs="Google Sans" w:eastAsia="Google Sans" w:hAnsi="Google Sans"/>
          <w:color w:val="1f1f1f"/>
          <w:rtl w:val="0"/>
        </w:rPr>
        <w:t xml:space="preserve"> STRICTLY CONFIDENTIAL - TIER-1 PROPRIETARY ARCHITECTURE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AUDIENCE:</w:t>
      </w:r>
      <w:r w:rsidDel="00000000" w:rsidR="00000000" w:rsidRPr="00000000">
        <w:rPr>
          <w:rFonts w:ascii="Google Sans" w:cs="Google Sans" w:eastAsia="Google Sans" w:hAnsi="Google Sans"/>
          <w:color w:val="1f1f1f"/>
          <w:rtl w:val="0"/>
        </w:rPr>
        <w:t xml:space="preserve"> Autonomous AI Coding Agent (Cursor / Windsurf / Copilot)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SYSTEM DIRECTIVE:</w:t>
      </w:r>
      <w:r w:rsidDel="00000000" w:rsidR="00000000" w:rsidRPr="00000000">
        <w:rPr>
          <w:rFonts w:ascii="Google Sans" w:cs="Google Sans" w:eastAsia="Google Sans" w:hAnsi="Google Sans"/>
          <w:color w:val="1f1f1f"/>
          <w:rtl w:val="0"/>
        </w:rPr>
        <w:t xml:space="preserve"> You are to act as the Principal Engineer and strictly adhere to the technical, mathematical, and legal constraints mapped in this document. Any deviation from the listed architectures, libraries, or compliance limiters is a critical failure.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GLOBAL ARCHITECTURE MAP &amp; TECH STACK</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Aurelius is a continuous-time, multi-timeframe algorithmic execution engine and SaaS platform.</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Frontend (UI/UX):</w:t>
      </w:r>
      <w:r w:rsidDel="00000000" w:rsidR="00000000" w:rsidRPr="00000000">
        <w:rPr>
          <w:rFonts w:ascii="Google Sans" w:cs="Google Sans" w:eastAsia="Google Sans" w:hAnsi="Google Sans"/>
          <w:color w:val="1f1f1f"/>
          <w:rtl w:val="0"/>
        </w:rPr>
        <w:t xml:space="preserve"> Next.js (App Router), React Server Components (RSC), Zustand (Context/Store Factory), Framer Motion, Flubber.js, Tailwind CSS.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Database &amp; Auth:</w:t>
      </w:r>
      <w:r w:rsidDel="00000000" w:rsidR="00000000" w:rsidRPr="00000000">
        <w:rPr>
          <w:rFonts w:ascii="Google Sans" w:cs="Google Sans" w:eastAsia="Google Sans" w:hAnsi="Google Sans"/>
          <w:color w:val="1f1f1f"/>
          <w:rtl w:val="0"/>
        </w:rPr>
        <w:t xml:space="preserve"> Neon Serverless Postgres (Bitemporal Append-Only JSONB schema). Stripe API ($200/mo premium tier).</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 Ingestion &amp; NLP (Rust/Python):</w:t>
      </w:r>
      <w:r w:rsidDel="00000000" w:rsidR="00000000" w:rsidRPr="00000000">
        <w:rPr>
          <w:rFonts w:ascii="Google Sans" w:cs="Google Sans" w:eastAsia="Google Sans" w:hAnsi="Google Sans"/>
          <w:color w:val="1f1f1f"/>
          <w:rtl w:val="0"/>
        </w:rPr>
        <w:t xml:space="preserve"> Rust (tokio runtime) for zero-latency XML parsing. Python (curl_cffi) for TLS impersonation. DeepSeek R1 (ThinkJSON) &amp; Zod for Structured Outputs.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Message Broker &amp; Event Loop:</w:t>
      </w:r>
      <w:r w:rsidDel="00000000" w:rsidR="00000000" w:rsidRPr="00000000">
        <w:rPr>
          <w:rFonts w:ascii="Google Sans" w:cs="Google Sans" w:eastAsia="Google Sans" w:hAnsi="Google Sans"/>
          <w:color w:val="1f1f1f"/>
          <w:rtl w:val="0"/>
        </w:rPr>
        <w:t xml:space="preserve"> Apache Kafka (ZGC tuned, acks=all), Redis Pub/Sub, LMAX Disruptor (CAS lock-free concurrency).</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Backend Intelligence &amp; Routing (Python):</w:t>
      </w:r>
      <w:r w:rsidDel="00000000" w:rsidR="00000000" w:rsidRPr="00000000">
        <w:rPr>
          <w:rFonts w:ascii="Google Sans" w:cs="Google Sans" w:eastAsia="Google Sans" w:hAnsi="Google Sans"/>
          <w:color w:val="1f1f1f"/>
          <w:rtl w:val="0"/>
        </w:rPr>
        <w:t xml:space="preserve"> FastAPI (Gateway), FastTreeSHAP v2, WOODELF.</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Execution Infrastructure (Bare Metal):</w:t>
      </w:r>
      <w:r w:rsidDel="00000000" w:rsidR="00000000" w:rsidRPr="00000000">
        <w:rPr>
          <w:rFonts w:ascii="Google Sans" w:cs="Google Sans" w:eastAsia="Google Sans" w:hAnsi="Google Sans"/>
          <w:color w:val="1f1f1f"/>
          <w:rtl w:val="0"/>
        </w:rPr>
        <w:t xml:space="preserve"> Equinix NY4 (IBKR FIX protocol / WebSockets), GCP us-east4 (Alpaca OmniSub API). SR-IOV NICs with SO_BUSY_POLL.</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BACKEND INTELLIGENCE (QUANT CORE &amp; DATA)</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Multi-Timeframe Concurrency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models market microstructure using three distinct neural architectures bound by a </w:t>
      </w:r>
      <w:r w:rsidDel="00000000" w:rsidR="00000000" w:rsidRPr="00000000">
        <w:rPr>
          <w:rFonts w:ascii="Google Sans" w:cs="Google Sans" w:eastAsia="Google Sans" w:hAnsi="Google Sans"/>
          <w:b w:val="1"/>
          <w:bCs w:val="1"/>
          <w:color w:val="1f1f1f"/>
          <w:rtl w:val="0"/>
        </w:rPr>
        <w:t xml:space="preserve">Hierarchical State Clock</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60m Agent (TFT):</w:t>
      </w:r>
      <w:r w:rsidDel="00000000" w:rsidR="00000000" w:rsidRPr="00000000">
        <w:rPr>
          <w:rFonts w:ascii="Google Sans" w:cs="Google Sans" w:eastAsia="Google Sans" w:hAnsi="Google Sans"/>
          <w:color w:val="1f1f1f"/>
          <w:rtl w:val="0"/>
        </w:rPr>
        <w:t xml:space="preserve"> Temporal Fusion Transformers mapping macro-intraday volatility regimes.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15m Agent (BiLSTM):</w:t>
      </w:r>
      <w:r w:rsidDel="00000000" w:rsidR="00000000" w:rsidRPr="00000000">
        <w:rPr>
          <w:rFonts w:ascii="Google Sans" w:cs="Google Sans" w:eastAsia="Google Sans" w:hAnsi="Google Sans"/>
          <w:color w:val="1f1f1f"/>
          <w:rtl w:val="0"/>
        </w:rPr>
        <w:t xml:space="preserve"> Resolving hidden contextual dependencies in mid-frequency order flow both forward and backward.</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5m Agent (Advanced LSTM):</w:t>
      </w:r>
      <w:r w:rsidDel="00000000" w:rsidR="00000000" w:rsidRPr="00000000">
        <w:rPr>
          <w:rFonts w:ascii="Google Sans" w:cs="Google Sans" w:eastAsia="Google Sans" w:hAnsi="Google Sans"/>
          <w:color w:val="1f1f1f"/>
          <w:rtl w:val="0"/>
        </w:rPr>
        <w:t xml:space="preserve"> Tactical execution layer mapping non-linear micro-structural momentum.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AI Agent Instruction:</w:t>
      </w:r>
      <w:r w:rsidDel="00000000" w:rsidR="00000000" w:rsidRPr="00000000">
        <w:rPr>
          <w:rFonts w:ascii="Google Sans" w:cs="Google Sans" w:eastAsia="Google Sans" w:hAnsi="Google Sans"/>
          <w:color w:val="1f1f1f"/>
          <w:rtl w:val="0"/>
        </w:rPr>
        <w:t xml:space="preserve"> Decouple feature extraction from execution using the </w:t>
      </w:r>
      <w:r w:rsidDel="00000000" w:rsidR="00000000" w:rsidRPr="00000000">
        <w:rPr>
          <w:rFonts w:ascii="Google Sans" w:cs="Google Sans" w:eastAsia="Google Sans" w:hAnsi="Google Sans"/>
          <w:b w:val="1"/>
          <w:bCs w:val="1"/>
          <w:color w:val="1f1f1f"/>
          <w:rtl w:val="0"/>
        </w:rPr>
        <w:t xml:space="preserve">LMAX Disruptor</w:t>
      </w:r>
      <w:r w:rsidDel="00000000" w:rsidR="00000000" w:rsidRPr="00000000">
        <w:rPr>
          <w:rFonts w:ascii="Google Sans" w:cs="Google Sans" w:eastAsia="Google Sans" w:hAnsi="Google Sans"/>
          <w:color w:val="1f1f1f"/>
          <w:rtl w:val="0"/>
        </w:rPr>
        <w:t xml:space="preserve">. Use Compare-And-Swap (CAS) atomic operations on a pre-allocated ring buffer. Create a Sequence Barrier to guarantee the execution consumer only reads a state vector once all three temporal agents publish their inference.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Continuous-Time Statistical Arbitrage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Abandon discrete-time linear regression and static EMA pullbacks.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Stochastic Differential Equation:</w:t>
      </w:r>
      <w:r w:rsidDel="00000000" w:rsidR="00000000" w:rsidRPr="00000000">
        <w:rPr>
          <w:rFonts w:ascii="Google Sans" w:cs="Google Sans" w:eastAsia="Google Sans" w:hAnsi="Google Sans"/>
          <w:color w:val="1f1f1f"/>
          <w:rtl w:val="0"/>
        </w:rPr>
        <w:t xml:space="preserve"> Model mean reversion continuously using the </w:t>
      </w:r>
      <w:r w:rsidDel="00000000" w:rsidR="00000000" w:rsidRPr="00000000">
        <w:rPr>
          <w:rFonts w:ascii="Google Sans" w:cs="Google Sans" w:eastAsia="Google Sans" w:hAnsi="Google Sans"/>
          <w:b w:val="1"/>
          <w:bCs w:val="1"/>
          <w:color w:val="1f1f1f"/>
          <w:rtl w:val="0"/>
        </w:rPr>
        <w:t xml:space="preserve">Ornstein-Uhlenbeck (OU) SDE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061639" cy="229071"/>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061639" cy="2290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Kalman Filter &amp; MLE:</w:t>
      </w:r>
      <w:r w:rsidDel="00000000" w:rsidR="00000000" w:rsidRPr="00000000">
        <w:rPr>
          <w:rFonts w:ascii="Google Sans" w:cs="Google Sans" w:eastAsia="Google Sans" w:hAnsi="Google Sans"/>
          <w:color w:val="1f1f1f"/>
          <w:rtl w:val="0"/>
        </w:rPr>
        <w:t xml:space="preserve"> Dynamically calibrate </w:t>
      </w:r>
      <w:r w:rsidDel="00000000" w:rsidR="00000000" w:rsidRPr="00000000">
        <w:rPr>
          <w:rFonts w:ascii="Google Sans" w:cs="Google Sans" w:eastAsia="Google Sans" w:hAnsi="Google Sans"/>
          <w:color w:val="1f1f1f"/>
        </w:rPr>
        <w:drawing>
          <wp:inline distB="19050" distT="19050" distL="19050" distR="19050">
            <wp:extent cx="478706" cy="229779"/>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78706" cy="2297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real-time via Maximum Likelihood Estimation. Use the Kalman Filter state-space estimation to adjust the Kalman Gain (</w:t>
      </w:r>
      <w:r w:rsidDel="00000000" w:rsidR="00000000" w:rsidRPr="00000000">
        <w:rPr>
          <w:rFonts w:ascii="Google Sans" w:cs="Google Sans" w:eastAsia="Google Sans" w:hAnsi="Google Sans"/>
          <w:color w:val="1f1f1f"/>
        </w:rPr>
        <w:drawing>
          <wp:inline distB="19050" distT="19050" distL="19050" distR="19050">
            <wp:extent cx="237009" cy="227528"/>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37009" cy="2275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dynamically to heteroskedasticity, instantly re-weighting based on the error covariance matrix (</w:t>
      </w:r>
      <w:r w:rsidDel="00000000" w:rsidR="00000000" w:rsidRPr="00000000">
        <w:rPr>
          <w:rFonts w:ascii="Google Sans" w:cs="Google Sans" w:eastAsia="Google Sans" w:hAnsi="Google Sans"/>
          <w:color w:val="1f1f1f"/>
        </w:rPr>
        <w:drawing>
          <wp:inline distB="19050" distT="19050" distL="19050" distR="19050">
            <wp:extent cx="421854" cy="230102"/>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21854" cy="2301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Volatility Skew:</w:t>
      </w:r>
      <w:r w:rsidDel="00000000" w:rsidR="00000000" w:rsidRPr="00000000">
        <w:rPr>
          <w:rFonts w:ascii="Google Sans" w:cs="Google Sans" w:eastAsia="Google Sans" w:hAnsi="Google Sans"/>
          <w:color w:val="1f1f1f"/>
          <w:rtl w:val="0"/>
        </w:rPr>
        <w:t xml:space="preserve"> Extrapolate implied volatility using the </w:t>
      </w:r>
      <w:r w:rsidDel="00000000" w:rsidR="00000000" w:rsidRPr="00000000">
        <w:rPr>
          <w:rFonts w:ascii="Google Sans" w:cs="Google Sans" w:eastAsia="Google Sans" w:hAnsi="Google Sans"/>
          <w:b w:val="1"/>
          <w:bCs w:val="1"/>
          <w:color w:val="1f1f1f"/>
          <w:rtl w:val="0"/>
        </w:rPr>
        <w:t xml:space="preserve">SABR Model</w:t>
      </w:r>
      <w:r w:rsidDel="00000000" w:rsidR="00000000" w:rsidRPr="00000000">
        <w:rPr>
          <w:rFonts w:ascii="Google Sans" w:cs="Google Sans" w:eastAsia="Google Sans" w:hAnsi="Google Sans"/>
          <w:color w:val="1f1f1f"/>
          <w:rtl w:val="0"/>
        </w:rPr>
        <w:t xml:space="preserve">. Extract the </w:t>
      </w:r>
      <w:r w:rsidDel="00000000" w:rsidR="00000000" w:rsidRPr="00000000">
        <w:rPr>
          <w:rFonts w:ascii="Google Sans" w:cs="Google Sans" w:eastAsia="Google Sans" w:hAnsi="Google Sans"/>
          <w:b w:val="1"/>
          <w:bCs w:val="1"/>
          <w:color w:val="1f1f1f"/>
          <w:rtl w:val="0"/>
        </w:rPr>
        <w:t xml:space="preserve">25-Delta Risk Reversal</w:t>
      </w:r>
      <w:r w:rsidDel="00000000" w:rsidR="00000000" w:rsidRPr="00000000">
        <w:rPr>
          <w:rFonts w:ascii="Google Sans" w:cs="Google Sans" w:eastAsia="Google Sans" w:hAnsi="Google Sans"/>
          <w:color w:val="1f1f1f"/>
          <w:rtl w:val="0"/>
        </w:rPr>
        <w:t xml:space="preserve"> to quantify institutional tail-risk pricing.</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Order Flow Imbalance:</w:t>
      </w:r>
      <w:r w:rsidDel="00000000" w:rsidR="00000000" w:rsidRPr="00000000">
        <w:rPr>
          <w:rFonts w:ascii="Google Sans" w:cs="Google Sans" w:eastAsia="Google Sans" w:hAnsi="Google Sans"/>
          <w:color w:val="1f1f1f"/>
          <w:rtl w:val="0"/>
        </w:rPr>
        <w:t xml:space="preserve"> Construct a Multi-Level Order Flow Imbalance (MLOFI) vector across </w:t>
      </w:r>
      <w:r w:rsidDel="00000000" w:rsidR="00000000" w:rsidRPr="00000000">
        <w:rPr>
          <w:rFonts w:ascii="Google Sans" w:cs="Google Sans" w:eastAsia="Google Sans" w:hAnsi="Google Sans"/>
          <w:color w:val="1f1f1f"/>
        </w:rPr>
        <w:drawing>
          <wp:inline distB="19050" distT="19050" distL="19050" distR="19050">
            <wp:extent cx="110654" cy="221308"/>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10654" cy="2213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limit order book levels. Filter noise using </w:t>
      </w:r>
      <w:r w:rsidDel="00000000" w:rsidR="00000000" w:rsidRPr="00000000">
        <w:rPr>
          <w:rFonts w:ascii="Google Sans" w:cs="Google Sans" w:eastAsia="Google Sans" w:hAnsi="Google Sans"/>
          <w:b w:val="1"/>
          <w:bCs w:val="1"/>
          <w:color w:val="1f1f1f"/>
          <w:rtl w:val="0"/>
        </w:rPr>
        <w:t xml:space="preserve">Principal Component Analysis (PCA)</w:t>
      </w:r>
      <w:r w:rsidDel="00000000" w:rsidR="00000000" w:rsidRPr="00000000">
        <w:rPr>
          <w:rFonts w:ascii="Google Sans" w:cs="Google Sans" w:eastAsia="Google Sans" w:hAnsi="Google Sans"/>
          <w:color w:val="1f1f1f"/>
          <w:rtl w:val="0"/>
        </w:rPr>
        <w:t xml:space="preserve">, extracting the first principal component eigenvector (</w:t>
      </w:r>
      <w:r w:rsidDel="00000000" w:rsidR="00000000" w:rsidRPr="00000000">
        <w:rPr>
          <w:rFonts w:ascii="Google Sans" w:cs="Google Sans" w:eastAsia="Google Sans" w:hAnsi="Google Sans"/>
          <w:color w:val="1f1f1f"/>
        </w:rPr>
        <w:drawing>
          <wp:inline distB="19050" distT="19050" distL="19050" distR="19050">
            <wp:extent cx="107529" cy="234608"/>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07529" cy="2346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dictate microsecond execution.</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Alt-Data Ingestion &amp; Financial RAG</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TLS Impersonation:</w:t>
      </w:r>
      <w:r w:rsidDel="00000000" w:rsidR="00000000" w:rsidRPr="00000000">
        <w:rPr>
          <w:rFonts w:ascii="Google Sans" w:cs="Google Sans" w:eastAsia="Google Sans" w:hAnsi="Google Sans"/>
          <w:color w:val="1f1f1f"/>
          <w:rtl w:val="0"/>
        </w:rPr>
        <w:t xml:space="preserve"> Use Python's curl_cffi to spoof JA3/TLS fingerprints and bypass Cloudflare/DataDome.</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Rust Parsers:</w:t>
      </w:r>
      <w:r w:rsidDel="00000000" w:rsidR="00000000" w:rsidRPr="00000000">
        <w:rPr>
          <w:rFonts w:ascii="Google Sans" w:cs="Google Sans" w:eastAsia="Google Sans" w:hAnsi="Google Sans"/>
          <w:color w:val="1f1f1f"/>
          <w:rtl w:val="0"/>
        </w:rPr>
        <w:t xml:space="preserve"> Ingest SEC Form 4 EDGAR RSS feeds using Rust + tokio asynchronous runtime to bypass Python's GIL.</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Statistical Normalization:</w:t>
      </w:r>
      <w:r w:rsidDel="00000000" w:rsidR="00000000" w:rsidRPr="00000000">
        <w:rPr>
          <w:rFonts w:ascii="Google Sans" w:cs="Google Sans" w:eastAsia="Google Sans" w:hAnsi="Google Sans"/>
          <w:color w:val="1f1f1f"/>
          <w:rtl w:val="0"/>
        </w:rPr>
        <w:t xml:space="preserve"> Map unstructured data to tick data using </w:t>
      </w:r>
      <w:r w:rsidDel="00000000" w:rsidR="00000000" w:rsidRPr="00000000">
        <w:rPr>
          <w:rFonts w:ascii="Google Sans" w:cs="Google Sans" w:eastAsia="Google Sans" w:hAnsi="Google Sans"/>
          <w:b w:val="1"/>
          <w:bCs w:val="1"/>
          <w:color w:val="1f1f1f"/>
          <w:rtl w:val="0"/>
        </w:rPr>
        <w:t xml:space="preserve">ECDF</w:t>
      </w:r>
      <w:r w:rsidDel="00000000" w:rsidR="00000000" w:rsidRPr="00000000">
        <w:rPr>
          <w:rFonts w:ascii="Google Sans" w:cs="Google Sans" w:eastAsia="Google Sans" w:hAnsi="Google Sans"/>
          <w:color w:val="1f1f1f"/>
          <w:rtl w:val="0"/>
        </w:rPr>
        <w:t xml:space="preserve"> (Empirical Cumulative Distribution Function). Model cross-sectional correlations using </w:t>
      </w:r>
      <w:r w:rsidDel="00000000" w:rsidR="00000000" w:rsidRPr="00000000">
        <w:rPr>
          <w:rFonts w:ascii="Google Sans" w:cs="Google Sans" w:eastAsia="Google Sans" w:hAnsi="Google Sans"/>
          <w:b w:val="1"/>
          <w:bCs w:val="1"/>
          <w:color w:val="1f1f1f"/>
          <w:rtl w:val="0"/>
        </w:rPr>
        <w:t xml:space="preserve">C-vine copulas</w:t>
      </w:r>
      <w:r w:rsidDel="00000000" w:rsidR="00000000" w:rsidRPr="00000000">
        <w:rPr>
          <w:rFonts w:ascii="Google Sans" w:cs="Google Sans" w:eastAsia="Google Sans" w:hAnsi="Google Sans"/>
          <w:color w:val="1f1f1f"/>
          <w:rtl w:val="0"/>
        </w:rPr>
        <w:t xml:space="preserve">. Apply exponential decay (minutes for social noise; 30-90 days for Form 4 filings).</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Financial RAG:</w:t>
      </w:r>
      <w:r w:rsidDel="00000000" w:rsidR="00000000" w:rsidRPr="00000000">
        <w:rPr>
          <w:rFonts w:ascii="Google Sans" w:cs="Google Sans" w:eastAsia="Google Sans" w:hAnsi="Google Sans"/>
          <w:color w:val="1f1f1f"/>
          <w:rtl w:val="0"/>
        </w:rPr>
        <w:t xml:space="preserve"> Prevent the "shredder effect" using </w:t>
      </w:r>
      <w:r w:rsidDel="00000000" w:rsidR="00000000" w:rsidRPr="00000000">
        <w:rPr>
          <w:rFonts w:ascii="Google Sans" w:cs="Google Sans" w:eastAsia="Google Sans" w:hAnsi="Google Sans"/>
          <w:b w:val="1"/>
          <w:bCs w:val="1"/>
          <w:color w:val="1f1f1f"/>
          <w:rtl w:val="0"/>
        </w:rPr>
        <w:t xml:space="preserve">Hierarchical Layout Parsing</w:t>
      </w:r>
      <w:r w:rsidDel="00000000" w:rsidR="00000000" w:rsidRPr="00000000">
        <w:rPr>
          <w:rFonts w:ascii="Google Sans" w:cs="Google Sans" w:eastAsia="Google Sans" w:hAnsi="Google Sans"/>
          <w:color w:val="1f1f1f"/>
          <w:rtl w:val="0"/>
        </w:rPr>
        <w:t xml:space="preserve">. Apply an authority-based re-ranking algorithm (SEC 10-K/13F = 1.0 weight; Twitter = 0.30 weight).</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LLM Schema Enforcement:</w:t>
      </w:r>
      <w:r w:rsidDel="00000000" w:rsidR="00000000" w:rsidRPr="00000000">
        <w:rPr>
          <w:rFonts w:ascii="Google Sans" w:cs="Google Sans" w:eastAsia="Google Sans" w:hAnsi="Google Sans"/>
          <w:color w:val="1f1f1f"/>
          <w:rtl w:val="0"/>
        </w:rPr>
        <w:t xml:space="preserve"> Use the "FinGround taxonomy" to enforce facts. Use </w:t>
      </w:r>
      <w:r w:rsidDel="00000000" w:rsidR="00000000" w:rsidRPr="00000000">
        <w:rPr>
          <w:rFonts w:ascii="Google Sans" w:cs="Google Sans" w:eastAsia="Google Sans" w:hAnsi="Google Sans"/>
          <w:b w:val="1"/>
          <w:bCs w:val="1"/>
          <w:color w:val="1f1f1f"/>
          <w:rtl w:val="0"/>
        </w:rPr>
        <w:t xml:space="preserve">DeepSeek R1</w:t>
      </w:r>
      <w:r w:rsidDel="00000000" w:rsidR="00000000" w:rsidRPr="00000000">
        <w:rPr>
          <w:rFonts w:ascii="Google Sans" w:cs="Google Sans" w:eastAsia="Google Sans" w:hAnsi="Google Sans"/>
          <w:color w:val="1f1f1f"/>
          <w:rtl w:val="0"/>
        </w:rPr>
        <w:t xml:space="preserve"> with ThinkJSON reinforcement learning to generate internal chain-of-thought, outputting strictly validated </w:t>
      </w:r>
      <w:r w:rsidDel="00000000" w:rsidR="00000000" w:rsidRPr="00000000">
        <w:rPr>
          <w:rFonts w:ascii="Google Sans" w:cs="Google Sans" w:eastAsia="Google Sans" w:hAnsi="Google Sans"/>
          <w:b w:val="1"/>
          <w:bCs w:val="1"/>
          <w:color w:val="1f1f1f"/>
          <w:rtl w:val="0"/>
        </w:rPr>
        <w:t xml:space="preserve">Zod</w:t>
      </w:r>
      <w:r w:rsidDel="00000000" w:rsidR="00000000" w:rsidRPr="00000000">
        <w:rPr>
          <w:rFonts w:ascii="Google Sans" w:cs="Google Sans" w:eastAsia="Google Sans" w:hAnsi="Google Sans"/>
          <w:color w:val="1f1f1f"/>
          <w:rtl w:val="0"/>
        </w:rPr>
        <w:t xml:space="preserve"> JSON payloads.</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EXECUTION &amp; INFRASTRUCTURE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Network Topography</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US Equities (IBKR):</w:t>
      </w:r>
      <w:r w:rsidDel="00000000" w:rsidR="00000000" w:rsidRPr="00000000">
        <w:rPr>
          <w:rFonts w:ascii="Google Sans" w:cs="Google Sans" w:eastAsia="Google Sans" w:hAnsi="Google Sans"/>
          <w:color w:val="1f1f1f"/>
          <w:rtl w:val="0"/>
        </w:rPr>
        <w:t xml:space="preserve"> Deploy strictly to bare-metal in </w:t>
      </w:r>
      <w:r w:rsidDel="00000000" w:rsidR="00000000" w:rsidRPr="00000000">
        <w:rPr>
          <w:rFonts w:ascii="Google Sans" w:cs="Google Sans" w:eastAsia="Google Sans" w:hAnsi="Google Sans"/>
          <w:b w:val="1"/>
          <w:bCs w:val="1"/>
          <w:color w:val="1f1f1f"/>
          <w:rtl w:val="0"/>
        </w:rPr>
        <w:t xml:space="preserve">Equinix NY4</w:t>
      </w:r>
      <w:r w:rsidDel="00000000" w:rsidR="00000000" w:rsidRPr="00000000">
        <w:rPr>
          <w:rFonts w:ascii="Google Sans" w:cs="Google Sans" w:eastAsia="Google Sans" w:hAnsi="Google Sans"/>
          <w:color w:val="1f1f1f"/>
          <w:rtl w:val="0"/>
        </w:rPr>
        <w:t xml:space="preserve"> (Secaucus, NJ). Target 1ms-2ms RTT via direct cross-connects.</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Alpaca Gateways:</w:t>
      </w:r>
      <w:r w:rsidDel="00000000" w:rsidR="00000000" w:rsidRPr="00000000">
        <w:rPr>
          <w:rFonts w:ascii="Google Sans" w:cs="Google Sans" w:eastAsia="Google Sans" w:hAnsi="Google Sans"/>
          <w:color w:val="1f1f1f"/>
          <w:rtl w:val="0"/>
        </w:rPr>
        <w:t xml:space="preserve"> Deploy to </w:t>
      </w:r>
      <w:r w:rsidDel="00000000" w:rsidR="00000000" w:rsidRPr="00000000">
        <w:rPr>
          <w:rFonts w:ascii="Google Sans" w:cs="Google Sans" w:eastAsia="Google Sans" w:hAnsi="Google Sans"/>
          <w:b w:val="1"/>
          <w:bCs w:val="1"/>
          <w:color w:val="1f1f1f"/>
          <w:rtl w:val="0"/>
        </w:rPr>
        <w:t xml:space="preserve">GCP us-east4</w:t>
      </w:r>
      <w:r w:rsidDel="00000000" w:rsidR="00000000" w:rsidRPr="00000000">
        <w:rPr>
          <w:rFonts w:ascii="Google Sans" w:cs="Google Sans" w:eastAsia="Google Sans" w:hAnsi="Google Sans"/>
          <w:color w:val="1f1f1f"/>
          <w:rtl w:val="0"/>
        </w:rPr>
        <w:t xml:space="preserve"> (N. Virginia) for SIP and execution proximity.</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Hardware Sympathy:</w:t>
      </w:r>
      <w:r w:rsidDel="00000000" w:rsidR="00000000" w:rsidRPr="00000000">
        <w:rPr>
          <w:rFonts w:ascii="Google Sans" w:cs="Google Sans" w:eastAsia="Google Sans" w:hAnsi="Google Sans"/>
          <w:color w:val="1f1f1f"/>
          <w:rtl w:val="0"/>
        </w:rPr>
        <w:t xml:space="preserve"> Utilize Single-Root I/O Virtualization (SR-IOV) and SO_BUSY_POLL to bypass OS kernel interrupts.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Routing &amp; Concurrency Pipeline</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Market Data:</w:t>
      </w:r>
      <w:r w:rsidDel="00000000" w:rsidR="00000000" w:rsidRPr="00000000">
        <w:rPr>
          <w:rFonts w:ascii="Google Sans" w:cs="Google Sans" w:eastAsia="Google Sans" w:hAnsi="Google Sans"/>
          <w:color w:val="1f1f1f"/>
          <w:rtl w:val="0"/>
        </w:rPr>
        <w:t xml:space="preserve"> Ingest NBBO and SIP strictly via bidirectional </w:t>
      </w:r>
      <w:r w:rsidDel="00000000" w:rsidR="00000000" w:rsidRPr="00000000">
        <w:rPr>
          <w:rFonts w:ascii="Google Sans" w:cs="Google Sans" w:eastAsia="Google Sans" w:hAnsi="Google Sans"/>
          <w:b w:val="1"/>
          <w:bCs w:val="1"/>
          <w:color w:val="1f1f1f"/>
          <w:rtl w:val="0"/>
        </w:rPr>
        <w:t xml:space="preserve">WebSockets</w:t>
      </w:r>
      <w:r w:rsidDel="00000000" w:rsidR="00000000" w:rsidRPr="00000000">
        <w:rPr>
          <w:rFonts w:ascii="Google Sans" w:cs="Google Sans" w:eastAsia="Google Sans" w:hAnsi="Google Sans"/>
          <w:color w:val="1f1f1f"/>
          <w:rtl w:val="0"/>
        </w:rPr>
        <w:t xml:space="preserve"> pinned to dedicated CPU cores.</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Internal Fanout:</w:t>
      </w:r>
      <w:r w:rsidDel="00000000" w:rsidR="00000000" w:rsidRPr="00000000">
        <w:rPr>
          <w:rFonts w:ascii="Google Sans" w:cs="Google Sans" w:eastAsia="Google Sans" w:hAnsi="Google Sans"/>
          <w:color w:val="1f1f1f"/>
          <w:rtl w:val="0"/>
        </w:rPr>
        <w:t xml:space="preserve"> Pass data from Kafka -&gt; Redis Pub/Sub (string byte manipulation) -&gt; LMAX Disruptor.</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Bulk Execution:</w:t>
      </w:r>
      <w:r w:rsidDel="00000000" w:rsidR="00000000" w:rsidRPr="00000000">
        <w:rPr>
          <w:rFonts w:ascii="Google Sans" w:cs="Google Sans" w:eastAsia="Google Sans" w:hAnsi="Google Sans"/>
          <w:color w:val="1f1f1f"/>
          <w:rtl w:val="0"/>
        </w:rPr>
        <w:t xml:space="preserve"> The LMAX consumer must aggregate multi-tenant signals into a single bulk block order payload via </w:t>
      </w:r>
      <w:r w:rsidDel="00000000" w:rsidR="00000000" w:rsidRPr="00000000">
        <w:rPr>
          <w:rFonts w:ascii="Google Sans" w:cs="Google Sans" w:eastAsia="Google Sans" w:hAnsi="Google Sans"/>
          <w:b w:val="1"/>
          <w:bCs w:val="1"/>
          <w:color w:val="1f1f1f"/>
          <w:rtl w:val="0"/>
        </w:rPr>
        <w:t xml:space="preserve">IBKR Financial Advisor (FA)</w:t>
      </w:r>
      <w:r w:rsidDel="00000000" w:rsidR="00000000" w:rsidRPr="00000000">
        <w:rPr>
          <w:rFonts w:ascii="Google Sans" w:cs="Google Sans" w:eastAsia="Google Sans" w:hAnsi="Google Sans"/>
          <w:color w:val="1f1f1f"/>
          <w:rtl w:val="0"/>
        </w:rPr>
        <w:t xml:space="preserve"> profiles or </w:t>
      </w:r>
      <w:r w:rsidDel="00000000" w:rsidR="00000000" w:rsidRPr="00000000">
        <w:rPr>
          <w:rFonts w:ascii="Google Sans" w:cs="Google Sans" w:eastAsia="Google Sans" w:hAnsi="Google Sans"/>
          <w:b w:val="1"/>
          <w:bCs w:val="1"/>
          <w:color w:val="1f1f1f"/>
          <w:rtl w:val="0"/>
        </w:rPr>
        <w:t xml:space="preserve">Alpaca OmniSub API</w:t>
      </w:r>
      <w:r w:rsidDel="00000000" w:rsidR="00000000" w:rsidRPr="00000000">
        <w:rPr>
          <w:rFonts w:ascii="Google Sans" w:cs="Google Sans" w:eastAsia="Google Sans" w:hAnsi="Google Sans"/>
          <w:color w:val="1f1f1f"/>
          <w:rtl w:val="0"/>
        </w:rPr>
        <w:t xml:space="preserve"> to avoid pacing violations.</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AES-256 Key Management:</w:t>
      </w:r>
      <w:r w:rsidDel="00000000" w:rsidR="00000000" w:rsidRPr="00000000">
        <w:rPr>
          <w:rFonts w:ascii="Google Sans" w:cs="Google Sans" w:eastAsia="Google Sans" w:hAnsi="Google Sans"/>
          <w:color w:val="1f1f1f"/>
          <w:rtl w:val="0"/>
        </w:rPr>
        <w:t xml:space="preserve"> API keys are stored in Neon Postgres. Pre-warm an asynchronous memory pool. Load decrypted keys into a zero-allocation buffer linked to the Disruptor so execution payload authorization takes nanoseconds during a volatility event.</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UI/UX &amp; COMPLIANCE BOUNDARIES (CRITICAL)</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Aesthetic &amp; Visual Architecture</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Palette:</w:t>
      </w:r>
      <w:r w:rsidDel="00000000" w:rsidR="00000000" w:rsidRPr="00000000">
        <w:rPr>
          <w:rFonts w:ascii="Google Sans" w:cs="Google Sans" w:eastAsia="Google Sans" w:hAnsi="Google Sans"/>
          <w:color w:val="1f1f1f"/>
          <w:rtl w:val="0"/>
        </w:rPr>
        <w:t xml:space="preserve"> Vanta Black (#0A0A0A) backgrounds, Obsidian (#1C1C1C) cards. </w:t>
      </w:r>
      <w:r w:rsidDel="00000000" w:rsidR="00000000" w:rsidRPr="00000000">
        <w:rPr>
          <w:rFonts w:ascii="Google Sans" w:cs="Google Sans" w:eastAsia="Google Sans" w:hAnsi="Google Sans"/>
          <w:b w:val="1"/>
          <w:bCs w:val="1"/>
          <w:color w:val="1f1f1f"/>
          <w:rtl w:val="0"/>
        </w:rPr>
        <w:t xml:space="preserve">Metallic Gold</w:t>
      </w:r>
      <w:r w:rsidDel="00000000" w:rsidR="00000000" w:rsidRPr="00000000">
        <w:rPr>
          <w:rFonts w:ascii="Google Sans" w:cs="Google Sans" w:eastAsia="Google Sans" w:hAnsi="Google Sans"/>
          <w:color w:val="1f1f1f"/>
          <w:rtl w:val="0"/>
        </w:rPr>
        <w:t xml:space="preserve"> (#D4AF37) for Conviction Scores. Oxidized Copper/Sage (#5F7161) for positive features; Muted Burgundy (#8C3A3A) for negative features. NO neon red/green.</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Typography:</w:t>
      </w:r>
      <w:r w:rsidDel="00000000" w:rsidR="00000000" w:rsidRPr="00000000">
        <w:rPr>
          <w:rFonts w:ascii="Google Sans" w:cs="Google Sans" w:eastAsia="Google Sans" w:hAnsi="Google Sans"/>
          <w:color w:val="1f1f1f"/>
          <w:rtl w:val="0"/>
        </w:rPr>
        <w:t xml:space="preserve"> Dual-font architecture. Roboto Mono (or Geist Mono) for tabular data; Playfair Display for macro tickers/scores.</w:t>
      </w:r>
    </w:p>
    <w:p w:rsidR="00000000" w:rsidDel="00000000" w:rsidP="00000000" w:rsidRDefault="00000000" w:rsidRPr="00000000" w14:paraId="0000002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Rendering Engine:</w:t>
      </w:r>
      <w:r w:rsidDel="00000000" w:rsidR="00000000" w:rsidRPr="00000000">
        <w:rPr>
          <w:rFonts w:ascii="Google Sans" w:cs="Google Sans" w:eastAsia="Google Sans" w:hAnsi="Google Sans"/>
          <w:color w:val="1f1f1f"/>
          <w:rtl w:val="0"/>
        </w:rPr>
        <w:t xml:space="preserve"> Zero generic chart wrappers (Chart.js is banned). Use raw SVG coordinate math with framer-motion and Flubber.js for morphing </w:t>
      </w:r>
      <w:r w:rsidDel="00000000" w:rsidR="00000000" w:rsidRPr="00000000">
        <w:rPr>
          <w:rFonts w:ascii="Google Sans" w:cs="Google Sans" w:eastAsia="Google Sans" w:hAnsi="Google Sans"/>
          <w:color w:val="1f1f1f"/>
        </w:rPr>
        <w:drawing>
          <wp:inline distB="19050" distT="19050" distL="19050" distR="19050">
            <wp:extent cx="95920" cy="230207"/>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95920" cy="2302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path attributes (e.g., circular Conviction Score morphing into a horizontal SHAP Force Plot).</w:t>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State Management:</w:t>
      </w:r>
      <w:r w:rsidDel="00000000" w:rsidR="00000000" w:rsidRPr="00000000">
        <w:rPr>
          <w:rFonts w:ascii="Google Sans" w:cs="Google Sans" w:eastAsia="Google Sans" w:hAnsi="Google Sans"/>
          <w:color w:val="1f1f1f"/>
          <w:rtl w:val="0"/>
        </w:rPr>
        <w:t xml:space="preserve"> Next.js Server Components pass down pre-computed JSON. Use Zustand for atomic DOM updates to prevent layout thrashing.</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Explainable AI (XAI) &amp; InvestGPT</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XAI Math:</w:t>
      </w:r>
      <w:r w:rsidDel="00000000" w:rsidR="00000000" w:rsidRPr="00000000">
        <w:rPr>
          <w:rFonts w:ascii="Google Sans" w:cs="Google Sans" w:eastAsia="Google Sans" w:hAnsi="Google Sans"/>
          <w:color w:val="1f1f1f"/>
          <w:rtl w:val="0"/>
        </w:rPr>
        <w:t xml:space="preserve"> Backend calculates SHAP in linear time </w:t>
      </w:r>
      <w:r w:rsidDel="00000000" w:rsidR="00000000" w:rsidRPr="00000000">
        <w:rPr>
          <w:rFonts w:ascii="Google Sans" w:cs="Google Sans" w:eastAsia="Google Sans" w:hAnsi="Google Sans"/>
          <w:color w:val="1f1f1f"/>
        </w:rPr>
        <w:drawing>
          <wp:inline distB="19050" distT="19050" distL="19050" distR="19050">
            <wp:extent cx="787152" cy="227610"/>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787152" cy="2276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using </w:t>
      </w:r>
      <w:r w:rsidDel="00000000" w:rsidR="00000000" w:rsidRPr="00000000">
        <w:rPr>
          <w:rFonts w:ascii="Google Sans" w:cs="Google Sans" w:eastAsia="Google Sans" w:hAnsi="Google Sans"/>
          <w:b w:val="1"/>
          <w:bCs w:val="1"/>
          <w:color w:val="1f1f1f"/>
          <w:rtl w:val="0"/>
        </w:rPr>
        <w:t xml:space="preserve">FastTreeSHAP v2</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WOODELF</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Client Rendering:</w:t>
      </w:r>
      <w:r w:rsidDel="00000000" w:rsidR="00000000" w:rsidRPr="00000000">
        <w:rPr>
          <w:rFonts w:ascii="Google Sans" w:cs="Google Sans" w:eastAsia="Google Sans" w:hAnsi="Google Sans"/>
          <w:color w:val="1f1f1f"/>
          <w:rtl w:val="0"/>
        </w:rPr>
        <w:t xml:space="preserve"> Next.js edge runtime does ZERO math. It applies a Deterministic Mapping Matrix to translate raw JSON ({"feature": "rsi_14", "shap": 0.043}) into plain-English string hydrated Server Components.</w:t>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InvestGPT (Text-to-SQL):</w:t>
      </w:r>
      <w:r w:rsidDel="00000000" w:rsidR="00000000" w:rsidRPr="00000000">
        <w:rPr>
          <w:rFonts w:ascii="Google Sans" w:cs="Google Sans" w:eastAsia="Google Sans" w:hAnsi="Google Sans"/>
          <w:color w:val="1f1f1f"/>
          <w:rtl w:val="0"/>
        </w:rPr>
        <w:t xml:space="preserve"> Apply </w:t>
      </w:r>
      <w:r w:rsidDel="00000000" w:rsidR="00000000" w:rsidRPr="00000000">
        <w:rPr>
          <w:rFonts w:ascii="Google Sans" w:cs="Google Sans" w:eastAsia="Google Sans" w:hAnsi="Google Sans"/>
          <w:b w:val="1"/>
          <w:bCs w:val="1"/>
          <w:color w:val="1f1f1f"/>
          <w:rtl w:val="0"/>
        </w:rPr>
        <w:t xml:space="preserve">CSR-RAG</w:t>
      </w:r>
      <w:r w:rsidDel="00000000" w:rsidR="00000000" w:rsidRPr="00000000">
        <w:rPr>
          <w:rFonts w:ascii="Google Sans" w:cs="Google Sans" w:eastAsia="Google Sans" w:hAnsi="Google Sans"/>
          <w:color w:val="1f1f1f"/>
          <w:rtl w:val="0"/>
        </w:rPr>
        <w:t xml:space="preserve"> (Contextual and Semantic Retrieval) to prune the 10k-column Neon DB schema by 93% before feeding the prompt. Use Few-Shot Prompting and strict Structured Outputs (Function Calling API). Pass the resulting SQL through a WebAssembly C-parser AST validator before querying Neon.</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LEGAL COMPLIANCE LIMITERS (ABSOLUTE MANDATE)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AI Agent Instruction: Phase 5 SEC compliance dictates supersede all UX desires. You are building a "Neutral Tool" utilizing the Publisher's Exemption. If you code automatic decision-making, the company violates the Investment Advisers Act of 1940.</w:t>
      </w:r>
    </w:p>
    <w:p w:rsidR="00000000" w:rsidDel="00000000" w:rsidP="00000000" w:rsidRDefault="00000000" w:rsidRPr="00000000" w14:paraId="0000003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PROHIBITED - NO AUTO-EXECUTION:</w:t>
      </w:r>
      <w:r w:rsidDel="00000000" w:rsidR="00000000" w:rsidRPr="00000000">
        <w:rPr>
          <w:rFonts w:ascii="Google Sans" w:cs="Google Sans" w:eastAsia="Google Sans" w:hAnsi="Google Sans"/>
          <w:color w:val="1f1f1f"/>
          <w:rtl w:val="0"/>
        </w:rPr>
        <w:t xml:space="preserve"> Disregard UX requests for "Full Autonomous AI Mode". You must </w:t>
      </w:r>
      <w:r w:rsidDel="00000000" w:rsidR="00000000" w:rsidRPr="00000000">
        <w:rPr>
          <w:rFonts w:ascii="Google Sans" w:cs="Google Sans" w:eastAsia="Google Sans" w:hAnsi="Google Sans"/>
          <w:b w:val="1"/>
          <w:bCs w:val="1"/>
          <w:color w:val="1f1f1f"/>
          <w:rtl w:val="0"/>
        </w:rPr>
        <w:t xml:space="preserve">NOT</w:t>
      </w:r>
      <w:r w:rsidDel="00000000" w:rsidR="00000000" w:rsidRPr="00000000">
        <w:rPr>
          <w:rFonts w:ascii="Google Sans" w:cs="Google Sans" w:eastAsia="Google Sans" w:hAnsi="Google Sans"/>
          <w:color w:val="1f1f1f"/>
          <w:rtl w:val="0"/>
        </w:rPr>
        <w:t xml:space="preserve"> build a "trade while I'm away" toggle. Every single POST /v2/orders MUST be triggered by a physical user click.</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PROHIBITED - NO ALGORITHMIC POSITION SIZING:</w:t>
      </w:r>
      <w:r w:rsidDel="00000000" w:rsidR="00000000" w:rsidRPr="00000000">
        <w:rPr>
          <w:rFonts w:ascii="Google Sans" w:cs="Google Sans" w:eastAsia="Google Sans" w:hAnsi="Google Sans"/>
          <w:color w:val="1f1f1f"/>
          <w:rtl w:val="0"/>
        </w:rPr>
        <w:t xml:space="preserve"> The AI must never read the user's account balance to suggest a trade size (e.g., "Allocate 5%").</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PROHIBITED - NO GAMIFICATION:</w:t>
      </w:r>
      <w:r w:rsidDel="00000000" w:rsidR="00000000" w:rsidRPr="00000000">
        <w:rPr>
          <w:rFonts w:ascii="Google Sans" w:cs="Google Sans" w:eastAsia="Google Sans" w:hAnsi="Google Sans"/>
          <w:color w:val="1f1f1f"/>
          <w:rtl w:val="0"/>
        </w:rPr>
        <w:t xml:space="preserve"> No digital engagement practices (DEPs).</w:t>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MANDATORY INPUTS:</w:t>
      </w:r>
      <w:r w:rsidDel="00000000" w:rsidR="00000000" w:rsidRPr="00000000">
        <w:rPr>
          <w:rFonts w:ascii="Google Sans" w:cs="Google Sans" w:eastAsia="Google Sans" w:hAnsi="Google Sans"/>
          <w:color w:val="1f1f1f"/>
          <w:rtl w:val="0"/>
        </w:rPr>
        <w:t xml:space="preserve"> Quantity, Notional Value, and Limit Price inputs MUST default to null or 0.</w:t>
      </w:r>
    </w:p>
    <w:p w:rsidR="00000000" w:rsidDel="00000000" w:rsidP="00000000" w:rsidRDefault="00000000" w:rsidRPr="00000000" w14:paraId="00000039">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MANDATORY SELECTION:</w:t>
      </w:r>
      <w:r w:rsidDel="00000000" w:rsidR="00000000" w:rsidRPr="00000000">
        <w:rPr>
          <w:rFonts w:ascii="Google Sans" w:cs="Google Sans" w:eastAsia="Google Sans" w:hAnsi="Google Sans"/>
          <w:color w:val="1f1f1f"/>
          <w:rtl w:val="0"/>
        </w:rPr>
        <w:t xml:space="preserve"> Users MUST explicitly select order types (Market, Limit, Stop) from a dropdown.</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Internal Risk Engine (FINRA 15c3-5 Parallels)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routing any payload to IBKR/Alpaca, the backend MUST pass the request through an internal validator interceptor:</w:t>
      </w:r>
    </w:p>
    <w:p w:rsidR="00000000" w:rsidDel="00000000" w:rsidP="00000000" w:rsidRDefault="00000000" w:rsidRPr="00000000" w14:paraId="0000003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Fat-Finger Limiter:</w:t>
      </w:r>
      <w:r w:rsidDel="00000000" w:rsidR="00000000" w:rsidRPr="00000000">
        <w:rPr>
          <w:rFonts w:ascii="Google Sans" w:cs="Google Sans" w:eastAsia="Google Sans" w:hAnsi="Google Sans"/>
          <w:color w:val="1f1f1f"/>
          <w:rtl w:val="0"/>
        </w:rPr>
        <w:t xml:space="preserve"> Hardcoded maximum notional value per order.</w:t>
      </w:r>
    </w:p>
    <w:p w:rsidR="00000000" w:rsidDel="00000000" w:rsidP="00000000" w:rsidRDefault="00000000" w:rsidRPr="00000000" w14:paraId="0000003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Liquidity Constraint:</w:t>
      </w:r>
      <w:r w:rsidDel="00000000" w:rsidR="00000000" w:rsidRPr="00000000">
        <w:rPr>
          <w:rFonts w:ascii="Google Sans" w:cs="Google Sans" w:eastAsia="Google Sans" w:hAnsi="Google Sans"/>
          <w:color w:val="1f1f1f"/>
          <w:rtl w:val="0"/>
        </w:rPr>
        <w:t xml:space="preserve"> Reject orders exceeding 5% of the asset's 30-day ADV.</w:t>
      </w:r>
    </w:p>
    <w:p w:rsidR="00000000" w:rsidDel="00000000" w:rsidP="00000000" w:rsidRDefault="00000000" w:rsidRPr="00000000" w14:paraId="0000003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Price Tolerance:</w:t>
      </w:r>
      <w:r w:rsidDel="00000000" w:rsidR="00000000" w:rsidRPr="00000000">
        <w:rPr>
          <w:rFonts w:ascii="Google Sans" w:cs="Google Sans" w:eastAsia="Google Sans" w:hAnsi="Google Sans"/>
          <w:color w:val="1f1f1f"/>
          <w:rtl w:val="0"/>
        </w:rPr>
        <w:t xml:space="preserve"> Reject Limit prices wildly disconnected from the real-time NBBO.</w:t>
      </w:r>
    </w:p>
    <w:p w:rsidR="00000000" w:rsidDel="00000000" w:rsidP="00000000" w:rsidRDefault="00000000" w:rsidRPr="00000000" w14:paraId="0000003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Margin Check:</w:t>
      </w:r>
      <w:r w:rsidDel="00000000" w:rsidR="00000000" w:rsidRPr="00000000">
        <w:rPr>
          <w:rFonts w:ascii="Google Sans" w:cs="Google Sans" w:eastAsia="Google Sans" w:hAnsi="Google Sans"/>
          <w:color w:val="1f1f1f"/>
          <w:rtl w:val="0"/>
        </w:rPr>
        <w:t xml:space="preserve"> Real-time GET /v2/account check. Display "Insufficient Funds" on UI rather than sending to the broker.</w:t>
      </w:r>
    </w:p>
    <w:p w:rsidR="00000000" w:rsidDel="00000000" w:rsidP="00000000" w:rsidRDefault="00000000" w:rsidRPr="00000000" w14:paraId="00000040">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Global Kill Switch:</w:t>
      </w:r>
      <w:r w:rsidDel="00000000" w:rsidR="00000000" w:rsidRPr="00000000">
        <w:rPr>
          <w:rFonts w:ascii="Google Sans" w:cs="Google Sans" w:eastAsia="Google Sans" w:hAnsi="Google Sans"/>
          <w:color w:val="1f1f1f"/>
          <w:rtl w:val="0"/>
        </w:rPr>
        <w:t xml:space="preserve"> An admin endpoint that returns 503 to all user POSTs, severs broker connections, and cancels pending payloads instantly.</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SaaS Funnel &amp; Defensive DB Telemetry</w:t>
      </w:r>
    </w:p>
    <w:p w:rsidR="00000000" w:rsidDel="00000000" w:rsidP="00000000" w:rsidRDefault="00000000" w:rsidRPr="00000000" w14:paraId="00000042">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Funnel:</w:t>
      </w:r>
      <w:r w:rsidDel="00000000" w:rsidR="00000000" w:rsidRPr="00000000">
        <w:rPr>
          <w:rFonts w:ascii="Google Sans" w:cs="Google Sans" w:eastAsia="Google Sans" w:hAnsi="Google Sans"/>
          <w:color w:val="1f1f1f"/>
          <w:rtl w:val="0"/>
        </w:rPr>
        <w:t xml:space="preserve"> 14-day Paper Sandbox (Alpaca) -&gt; Strict Paywall ($200/mo via Stripe).</w:t>
      </w:r>
    </w:p>
    <w:p w:rsidR="00000000" w:rsidDel="00000000" w:rsidP="00000000" w:rsidRDefault="00000000" w:rsidRPr="00000000" w14:paraId="0000004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Clickwrap ToS:</w:t>
      </w:r>
      <w:r w:rsidDel="00000000" w:rsidR="00000000" w:rsidRPr="00000000">
        <w:rPr>
          <w:rFonts w:ascii="Google Sans" w:cs="Google Sans" w:eastAsia="Google Sans" w:hAnsi="Google Sans"/>
          <w:color w:val="1f1f1f"/>
          <w:rtl w:val="0"/>
        </w:rPr>
        <w:t xml:space="preserve"> Browsewrap is banned. Force UI scroll to absolute bottom of terms before the acceptance checkbox unlocks. Ensure Mandatory Arbitration and Class Action Waivers are included.</w:t>
      </w:r>
    </w:p>
    <w:p w:rsidR="00000000" w:rsidDel="00000000" w:rsidP="00000000" w:rsidRDefault="00000000" w:rsidRPr="00000000" w14:paraId="0000004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Bitemporal Ledger (Append-Only):</w:t>
      </w:r>
      <w:r w:rsidDel="00000000" w:rsidR="00000000" w:rsidRPr="00000000">
        <w:rPr>
          <w:rFonts w:ascii="Google Sans" w:cs="Google Sans" w:eastAsia="Google Sans" w:hAnsi="Google Sans"/>
          <w:color w:val="1f1f1f"/>
          <w:rtl w:val="0"/>
        </w:rPr>
        <w:t xml:space="preserve"> Neon Postgres must use entity_facet_snapshots and entity_facet_deltas. UPDATE and DELETE SQL operations are strictly prohibited for trade logs.</w:t>
      </w:r>
    </w:p>
    <w:p w:rsidR="00000000" w:rsidDel="00000000" w:rsidP="00000000" w:rsidRDefault="00000000" w:rsidRPr="00000000" w14:paraId="00000045">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Forensic Telemetry:</w:t>
      </w:r>
      <w:r w:rsidDel="00000000" w:rsidR="00000000" w:rsidRPr="00000000">
        <w:rPr>
          <w:rFonts w:ascii="Google Sans" w:cs="Google Sans" w:eastAsia="Google Sans" w:hAnsi="Google Sans"/>
          <w:color w:val="1f1f1f"/>
          <w:rtl w:val="0"/>
        </w:rPr>
        <w:t xml:space="preserve"> Every executed order MUST log:</w:t>
      </w:r>
    </w:p>
    <w:p w:rsidR="00000000" w:rsidDel="00000000" w:rsidP="00000000" w:rsidRDefault="00000000" w:rsidRPr="00000000" w14:paraId="00000046">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Cryptographic SPIFFE ID.</w:t>
      </w:r>
    </w:p>
    <w:p w:rsidR="00000000" w:rsidDel="00000000" w:rsidP="00000000" w:rsidRDefault="00000000" w:rsidRPr="00000000" w14:paraId="00000047">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Millisecond-precision timestamp array (Click -&gt; API -&gt; Broker ACK).</w:t>
      </w:r>
    </w:p>
    <w:p w:rsidR="00000000" w:rsidDel="00000000" w:rsidP="00000000" w:rsidRDefault="00000000" w:rsidRPr="00000000" w14:paraId="00000048">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IP Address &amp; Browser User-Agent.</w:t>
      </w:r>
    </w:p>
    <w:p w:rsidR="00000000" w:rsidDel="00000000" w:rsidP="00000000" w:rsidRDefault="00000000" w:rsidRPr="00000000" w14:paraId="00000049">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UI Coordinate Click-Logs (X/Y axis of the physical mouse click).</w:t>
      </w:r>
    </w:p>
    <w:p w:rsidR="00000000" w:rsidDel="00000000" w:rsidP="00000000" w:rsidRDefault="00000000" w:rsidRPr="00000000" w14:paraId="0000004A">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Raw JSON sent, and exact Broker HTTP status response.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