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Aurelius: Frontend Architecture &amp; UI/UX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Owner: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UI/UX Engineer &amp; Front-End Architect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 (App Router), React Server Components (RSC), Zustand, Framer Motion, Flubber.js, Tailwind CSS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Explainable AI (XAI) Translation Engine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fundamental challenge of Project Aurelius is establishing immediate, unquestionable trust with high-net-worth users. Institutional traders do not trust "black box" algorithms; they require mathematical proof. However, exposing raw probabilistic arrays destroys the user experience. We must bridge deeply complex Python mathematics to a hyper-fast Next.js frontend seamlessly.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 SHAP Optimization (The Mathematical Foundation)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calculate feature importance in real-time without violating our sub-120ms signal generation budget, the Python backend completely bypasses standard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7152" cy="2276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152" cy="22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TreeSHAP computations. Instead, it utilizes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FastTreeSHAP v2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pre-compute and cache decision tree paths in memory,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WOODELF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reduces background SHAP calculations to a linear time complexity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7152" cy="2276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152" cy="22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pseudo-Boolean formulas. This ensures that the heavy algorithmic lifting is completed on the server, never blocking the signal pipeline.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Semantic Translation Pipeline (Next.js Integration)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the V8 JavaScript engine on the client from locking up during DOM reconciliation,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React frontend performs zero mathematical aggregations.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backend API gateway (FastAPI) passes a pre-sorted, mathematically normalized JSON payload to our Next.js edge runtime.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employ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Human-Translation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a deterministic mapping matrix prior to the Next.js Client Component render cycle. The engine evaluates: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Magnitude &amp; Direction: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SHAP value pushing the conviction score higher or lower?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Discretizing the raw value (e.g., RSI 28 = STATE_OVERSOLD).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Template Hydration: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Mapping these keys to an authoritative narrative string.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Next.js Server Component receives this fully hydrated payload and passes it to the client. When a user hovers over an indicator on the UI, instead of seeing {"feature": "rsi_14", "shap": 0.043}, they read an instantly digestible, plain-English thesis: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"35% of this bullish conviction is driven by an exhaustion of sell-side pressure (RSI at 28.4), indicating a high-probability mean reversion."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enforcing this strict translation pipeline, we offload complex internationalization and string concatenation from the React render cycle, guaranteeing zero dropped frames.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High-Performance Visual Rendering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Financial dashboards are historically plagued by severe visual clutter, high-anxiety neon colors, and bloated DOM structures caused by out-of-the-box charting libraries (e.g., Chart.js, Highcharts). Project Aurelius strictly forbids the use of these generic wrappers.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"Old Money" Aesthetic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interface must exude institutional authority and restraint.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Backgrounds &amp; Surfaces: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Vanta Black (#0A0A0A) for absolute backgrounds to reduce eye fatigue. Cards and surfaces use rich obsidian (#1C1C1C) with wide, deeply blurred shadow spreads to imply physical depth rather than digital layering.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Typography: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strict dual-font architecture. A geometric monospaced font (e.g., Roboto Mono or Geist Mono) for tabular data to ensure perfect decimal alignment. An elegant, high-contrast serif (e.g., Playfair Display) for macro asset tickers and top-level scores.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 Palette: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retail "Christmas colors" (neon green/red) are banned. We utilize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Metallic Gold (#D4AF37)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primary Conviction Score. Positive SHAP drivers utilize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Oxidized Copper/Sage (#5F7161)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while negative drivers use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Muted Burgundy (#8C3A3A)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 SVG &amp; Framer Motion Implementation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construct all visual interfaces (Waterfall charts, Force plots) using raw SVG coordinate mathematics combined with framer-motion.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Layout Thrashing: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utilize the Zustand Store Factory pattern wrapped in a React Context Provider. By employing atomic selectors (const score = useStore((state) =&gt; state.score)), only the specific SVG text node updates when a WebSocket tick arrives. The rest of the deeply nested DOM remains untouched.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 Morphing: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implement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Flubber.js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alongside Framer Motion's useTransform hook. When a user clicks the macro Conviction Score, the circular SVG track physically unspools and morphs its d path attribute into the horizontal axis of the detailed SHAP force plot. This creates a cinematic "Drill-Down" micro-interaction that subconsciously informs the user that the macro score is mathematically derived from the micro data beneath it.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InvestGPT: The Text-to-SQL Conversational Interface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InvestGPT allows users to perform highly complex, multi-hop queries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"Find mid-cap tech under $100 with a positive AI sentiment score, RSI &lt; 30, and an impending MACD crossover"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Operating against a Neon serverless PostgreSQL database with over 10,000 features per equity, we must execute this pipeline in under 500ms.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CSR-RAG Schema Pruning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Injecting a 10,000-column DDL schema into an LLM context window will cause catastrophic context dilution, hallucinated queries, and massive latency.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prompt generation, we execute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Contextual and Semantic Retrieval RAG (CSR-RAG)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uses deterministic foreign-key graph traversal mixed with vector semantic search to prune the exposed database schema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LLM is only fed the exact schema slice relevant to the user's specific request.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Structured Few-Shot Function Calling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force the LLM to output optimized PostgreSQL without conversational padding (e.g., "Sure! Here is your query..."):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utilize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Few-Shot Prompting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technique, injecting historical Query-to-SQL examples based on vector similarity.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enforce a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Structured Outputs (Function Calling)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model is constrained at the logit level to output a pure JSON schema payload ({"sql_query": "SELECT..."}). This bypasses all markdown formatting and Regex stripping, allowing the payload to flow instantly into our Node.js middleware.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middleware, the SQL string is converted into an Abstract Syntax Tree (AST) using a WebAssembly C-parser. It is structurally verified to ensure no destructive operations (DROP, DELETE) are present before executing against the Neon database.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User Control Center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Transparency is meaningless without granular control. The User Control Center (UCC) is the terminal's command hub, rendering complex risk management settings into intuitive, tactile sliders and toggles.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Autonomous Mode vs. Manual Override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interface feature of the UCC is a highly physicalized toggle switch governing the execution environment: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 Autonomous AI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automatically executes trades based on high-conviction SHAP thresholds (e.g., &gt;85% beat-market probability). The UI shifts to a "Monitoring" state, emphasizing the translation engine's continuous feed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is taking positions.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Override: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Returns the application to a pure screener and signal-generation terminal. The AI recommends, but the user clicks "Execute."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Capital Allocation Sliders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establish supreme user trust, capital allocation is manipulated via deeply customized range sliders.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Aesthetic &amp; UX: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Sliders do not use default browser styling. They feature custom SVG thumbs and track progress utilizing the Metallic Gold accent.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Debounce Mechanisms: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dragging a slider to allocate $50,000 to an AI strategy triggers complex backend risk-recalculations, the onChange event updates a localized, optimistic React state instantly, while the onMouseUp (or a 300ms debounced effect) triggers the actual server-side mutation. This prevents the UI from locking up or causing layout jank while the user is actively modeling their financial risk.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sliders are adjusted, projected risk metrics (Max Drawdown, Expected Value) update synchronously via Framer Motion number transitions, reinforcing the feeling of a hyper-responsive, high-end quantitative tool.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