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High-Frequency Multi-Timeframe AI Trading Engine: Backend Architecture and Mathematical Implementation Blueprint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and System Objectives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 of automated financial trading has inexorably shifted from intuition-based human decision-making toward systematic, algorithmic pattern recognition operating across vast multidimensional data spaces. Traditional platforms and retail-oriented engines, such as Tickeron’s "Financial Learning Models," frequently exhibit structural vulnerabilities rooted in their reliance on single-timeframe analyses. Single-timeframe systems inherently disregard the hierarchical and fractal nature of financial market movements, where short-term tactical pricing signals are inextricably conditioned upon longer-term strategic and macroeconomic contexts.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Attempting to model market dynamics through isolated temporal resolutions forces an engine to either aggressively over-trade on microscopic noise or dangerously lag behind structural regime shifts. Consequently, multi-timeframe analysis—the simultaneous evaluation of features across multiple temporal resolutions—is not merely an alpha-generation mechanism, but an indispensable risk-management paradigm that reduces maximum portfolio drawdown and curtails exposure to toxicity-induced volatility.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this comprehensive architectural blueprint is the design of a backend infrastructure for a Tier-1 quantitative proprietary trading engine capable of processing Level 2 limit order book data. This system must concurrently execute three discrete machine learning models operating on 5-minute, 15-minute, and 60-minute evaluation horizons for the same financial instrument. The foremost engineering constraint is deterministic ultra-low latency: the entire pipeline—spanning data ingestion, asynchronous multi-agent inference, mathematical conflict resolution, and the transmission of a FIX protocol execution command—must reliably execute in under 150 milliseconds.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details the four foundational pillars required to instantiate this platform: Data Synchronization and Concurrency Architecture, Model Selection and Feature Engineering, the Mathematical Conflict-Resolution Matrix, and Hardware Allocation and Execution Latency.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Data Synchronization and Concurrency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ingest and process over 100 million daily tick messages per asset while strictly adhering to a sub-150ms end-to-end latency budget, the foundational data pipeline must decouple deep learning state prediction from execution management while simultaneously enforcing rigorous temporal synchronization. The core concurrency challenge arises from the differing inference cadences of the models: the system must categorically prevent the 5-minute agent from executing a leveraged long scalp trade based on a transient micro-trend precisely when the 60-minute agent is finalizing computations that indicate an impending macroeconomic liquidity crash. Resolving this necessitates an architecture constructed around mechanical sympathy, kernel-bypass networking, and specialized inter-process communication mechanisms.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Distributed Ingestion Pipeline: Kafka and Redis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implements a multi-tiered ingestion and fanout pipeline that utilizes Apache Kafka for distributed durability and order-preservation, coupled with Redis for ephemeral, ultra-low-latency message broadcasting to the machine learning workers.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default configurations of message brokers are unsuitable for high-frequency trading, specialized deployments of Apache Kafka have demonstrated the capability to sustain sub-5ms 99th percentile (p99) end-to-end latencies even at throughputs of 1.6 million messages per second. Achieving this requires a rigorous departure from conventional cloud architectures. The underlying hardware relies on enterprise-grade Solid State Drives (SSDs) and the XFS file system to handle sequential write throughput without blocking. Crucially, the Java Virtual Machine (JVM) hosting the Kafka brokers must be configured to use the Z Garbage Collector (ZGC) to effectively eliminate algorithmic pause-time outliers that cause unpredictable latency spikes during high-volume Level 2 tick bursts.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guarantee that system speed never compromises data safety, broker parameters are locked to acks=all, enable.idempotence=true, and strict min.insync.replicas limits. On the client side, aggressive tuning of producer variables such as linger.ms, batch.size, and num.network.threads ensures that micro-batches of order book updates are dispatched to the broker network almost instantaneously.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for the intra-node fanout to the specific machine learning agents, relying solely on Kafka introduces unnecessary network hops. Instead, the architecture deploys Redis Pub/Sub. By bypassing the massive computational overhead of triple JSON string parsing and injecting the producer timestamp directly at the string byte level, the system processes tick data in pre-allocated memory batches. This event-loop optimization drives median (P50) write latencies down to 2.1 milliseconds and P95 latencies to 2.8 milliseconds. Simultaneously, Redis TimeSeries and an InfluxDB backup instance run in parallel to aggregate the raw ticks into rolling Open-High-Low-Close-Volume (OHLCV) bars required by the 15-minute and 60-minute models.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Stack</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Latency Profile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Configuration Specifics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Durable Ledger</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Kafka</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Immutable logging, disaster recovery, and strict order preservation.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5ms p99.</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ac[span_28](start_span)[span_28](end_span)ks=all, ZGC, XFS, multi-region constraints.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Real-Time Fanout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 Pub/Sub</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Ephemeral, ultra-fast broadcast to concurrent ML worker processes.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2.1ms p50, 2.8ms p95.</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string manipulation, bypass JSON parsing.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Time-Series Storage</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 TimeSeries / InfluxDB</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OHLCV bar aggregation and historical state retrieval.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10ms query times.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Range-query optimization.</w:t>
            </w:r>
          </w:p>
        </w:tc>
      </w:tr>
    </w:tbl>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Inter-Process Communication via the LMAX Disruptor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transmit the normalized feature vectors from the Redis ingestion layer to the parallel machine learning agents executing on the same physical server node, traditional shared memory utilizing thread locks, mutexes, or LinkedBlockingQueue implementations is profoundly inadequate. Standard shared memory across multiple CPU cores introduces severe race conditions, context switching penalties, and cache line bouncing—where multiple threads invalidate each other's L1/L2 CPU caches (false sharing), destroying performance.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the absolute minimum latency in inter-thread and inter-process communication (IPC), the trading engine implements the LMAX Disruptor pattern. The Disruptor is an elegant, lock-free, single-writer, multi-reader ring buffer designed specifically for high-frequency trading. The Disruptor enforces mechanical sympathy—a deep alignment with underlying CPU hardware architecture—by padding data structures to ensure they consume independent cache lines, thus entirely preventing false sharing. Because the ring buffer relies on atomic memory barriers rather than locks, the CPU is never stalled waiting for thread preemption.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Risk management modules also subscribe to this exact same Disruptor event stream, allowing position updates and exposure checks to run synchronously in mere microseconds without ever incurring a database call or network request.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State Management and Race Condition Mitigation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the asynchronous state of the 5-minute, 15-minute, and 60-minute ML workers to prevent contradictory execution requires a structural mechanism that supersedes system clock time. The solution is a "Hierarchical State Clock" governed by Disruptor Sequence Barriers.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architecture, time is strictly defined by the deterministic sequence ID of the incoming tick data, not the server's NTP clock. To prevent the 5m agent from executing a trade while the 60m agent is still computing a macro reversal, the system enforces a </w:t>
      </w:r>
      <w:r w:rsidDel="00000000" w:rsidR="00000000" w:rsidRPr="00000000">
        <w:rPr>
          <w:b w:val="1"/>
          <w:bCs w:val="1"/>
          <w:rtl w:val="0"/>
        </w:rPr>
        <w:t xml:space="preserve">Forward-Looking Regime Lock</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synchronization protocol operates as follows: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Macro Dominance State Computation:</w:t>
      </w:r>
      <w:r w:rsidDel="00000000" w:rsidR="00000000" w:rsidRPr="00000000">
        <w:rPr>
          <w:rtl w:val="0"/>
        </w:rPr>
        <w:t xml:space="preserve"> The 60m and 15m agents run their heavier inferences continuously but commit their output state (e.g., probability distribution over REGIME_BULL, REGIME_BEAR, REGIME_CHOP) into a dedicated, lock-free memory segment within the Disruptor.</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Sequence Barrier Enforcement:</w:t>
      </w:r>
      <w:r w:rsidDel="00000000" w:rsidR="00000000" w:rsidRPr="00000000">
        <w:rPr>
          <w:rtl w:val="0"/>
        </w:rPr>
        <w:t xml:space="preserve"> The 5m agent is mathematically prohibited from publishing an execution signal for Tick T_n until the Sequence Barrier confirms that the 5m agent has successfully read the localized macro state vectors calculated by the 60m and 15m agents up to T_{n-1}.</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Atomic Inhibition Flags:</w:t>
      </w:r>
      <w:r w:rsidDel="00000000" w:rsidR="00000000" w:rsidRPr="00000000">
        <w:rPr>
          <w:rtl w:val="0"/>
        </w:rPr>
        <w:t xml:space="preserve"> If the 60m agent computes a high probability of a structural breakdown (e.g., severe momentum divergence combined with rising volatility), it uses a Compare-And-Swap (CAS) atomic operation to set a systemic inhibit_long boolean flag in the shared cache. The 5m agent reads this flag in single-digit nanoseconds; if true, the 5m agent immediately aborts any long-side inference computations, saving GPU cycles and eliminating the race condition before it begins.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Model Selection and Feature Engineering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selection of appropriate deep neural network topologies for financial time series is dictated by an intrinsic trade-off: the inverse relationship between architectural complexity, expressive power, and inference latency. Because this system operates across multiple timescales, deploying the same model architecture for all three timeframes is computationally wasteful and mathematically suboptimal. The trading engine deploys a heterogeneous ensemble where the 5m, 15m, and 60m agents utilize specialized neural networks suited perfectly to their temporal mandates and feature domains.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5-Minute Micro-Trend Agent: Advanced LSTM Networks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high-frequency, 5-minute micro-structure forecasting, Vanilla and Bidirectional Long Short-Term Memory (LSTM) networks are vastly superior to modern transformer variants. While transformer-inspired models provide exceptional flexibility, extensive empirical evaluation within financial environments reveals that carefully constructed LSTMs consistently achieve superior predictive accuracy and lower Root Mean Square Error (RMSE) for short-term directional momentum.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superiority of the LSTM at the micro-level stems from its strong recurrent inductive bias. Financial tick data and 5-minute intervals represent strict, ordered temporal sequences. LSTMs naturally compress fixed-size embeddings for variable-length sequences, whereas transformers struggle with purely autoregressive sequence interpretations without over-engineered positional encodings. Crucially, the low parameter count of an LSTM direction network allows for highly efficient data utilization and ultra-fast parallel inference. This ensures that the 5m agent requires fewer than 10 milliseconds of GPU compute time, maintaining the system's ability to act instantly on order book imbalances.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60-Minute Macro-Regime Agent: Temporal Fusion Transformers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the 60-minute macro-agent is deployed using the Temporal Fusion Transformer (TFT) architecture. The TFT is a state-of-the-art framework explicitly designed for multi-horizon multivariate time-series forecasting. The 60-minute model must process a vast array of disparate data, including dynamic temporal inputs (price, volume, technical indicators) and static covariates (sector classifications, day of the week, macroeconomic indicators).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TFT combines recurrent encoders to model short-term temporal dynamics with multi-head self-attention mechanisms to capture complex, long-range latent dependencies across different feature groups. Furthermore, the TFT employs specialized gating mechanisms that allow the model to actively suppress noisy or irrelevant inputs at each specific time step, a critical capability when navigating the structural volatility of financial markets. Empirical research robustly demonstrates that TFTs significantly outperform standard LSTMs, Support Vector Regressors (SVR), and random forests in predicting realized financial volatility and handling exogenous shocks. While the TFT incurs a heavier computational and latency penalty due to its vast parameter space, this latency is highly acceptable on a 60-minute horizon where macro-state probabilities are updated asynchronously from the tick-by-tick execution pipeline.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15-Minute Meso-Trend Agent: BiLSTM with Feature-Wise Attention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Serving as the critical bridge between the 5-minute micro-structure and the 60-minute macro-regime, the 15-minute agent operates on a Bidirectional LSTM (BiLSTM) augmented with feature-wise attention mechanisms. This hybrid architecture provides high-accuracy workload forecasting by allowing the network to look both forwards and backwards within its localized rolling window, effectively synthesizing the momentum identified by the LSTM with the gating capabilities of the TFT, all while maintaining sub-50ms inference speeds.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Timeframe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Function</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Strengths in Financial Modeling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5-Minute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LSTM</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 directional prediction and tick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autoregressive nature, strong recurrent inductive bias, ultra-low latency inference.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15-Minute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BiLSTM + Attention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Momentum synthesis and trend confirmation.</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sequence context, faster convergence via credit assignment.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60-Minute</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Temporal Fusion Transformer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Macro-regime shifting and volatility forecasting.</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Multi-horizon dependencies, static covariate handling, interpretable feature gating.</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High-Frequency Feature Engineering: Order Flow Toxicity and VPIN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Feeding identical feature sets to all three models is a critical error in multi-timeframe system design. Providing the 60m TFT with raw tick imbalance introduces destructive micro-noise, while supplying the 5m LSTM with slow-moving macroeconomic sentiment restricts its reactivity. Feature pipelines must be rigorously bifurcated.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5-minute LSTM consumes Level 2 limit order book data, specifically monitoring market depths beyond the best bid and ask spread. Its primary predictive feature is the </w:t>
      </w:r>
      <w:r w:rsidDel="00000000" w:rsidR="00000000" w:rsidRPr="00000000">
        <w:rPr>
          <w:b w:val="1"/>
          <w:bCs w:val="1"/>
          <w:rtl w:val="0"/>
        </w:rPr>
        <w:t xml:space="preserve">Volume-Synchronized Probability of Informed Trading (VPIN)</w:t>
      </w:r>
      <w:r w:rsidDel="00000000" w:rsidR="00000000" w:rsidRPr="00000000">
        <w:rP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VPIN is mathematically derived from the foundational Probability of Informed Trading (PIN) models, but it solves the instability of chronological time by synchronizing probability estimates in "volume time". In high-frequency electronic markets, massive volumes of trades can occur in milliseconds; calendar-based intervals miss these critical clusters. VPIN isolates periods where order flow toxicity is rising. Toxicity implies that the market is dominated by informed directional traders. When toxicity exceeds a critical threshold, uninformed market makers are adversely selected and immediately withdraw their liquidity, leading to rapid bid-ask spread widening and sharp, toxicity-induced volatility (such as the 2010 Flash Crash, which VPIN accurately signaled hours in advance).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calculate VPIN, the engine divides the real-time continuous trading stream into equal, fixed-sized volume buckets (V). Each bucket's total volume is segmented into buyer-initiated (V^{buy}) and seller-initiated (V^{sell}) components. The absolute order imbalance across n trailing buckets determines the VPIN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feature bounds between 0 and 1. If the 5m model ingests a VPIN value surging above 0.85, the neural network learns that market makers are capitulating, and the probability of a violent, micro-directional continuation approaches certainty.</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Macro-Volatility Feature Engineering: The Rogers-Satchell Estimator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60-minute TFT relies heavily on aggregated technical signals, such as volume-weighted Moving Average Convergence Divergence (MACD), and sophisticated historical volatility estimators. However, utilizing standard "close-to-close" variance severely underestimates intraday risk.</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intermediate estimators like the Garman-Klass model significantly improve upon close-to-close calculations by incorporating Open, High, Low, and Close (OHLC) prices, Garman-Klass enforces a strict mathematical assumption that the underlying asset follows a zero-drift Brownian motion. In a 60-minute trending market environment, asset prices exhibit significant non-zero drift. Applying Garman-Klass to a trending asset causes the mathematical estimator to grossly overestimate the true variance.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60-minute pipeline mandates the use of the </w:t>
      </w:r>
      <w:r w:rsidDel="00000000" w:rsidR="00000000" w:rsidRPr="00000000">
        <w:rPr>
          <w:b w:val="1"/>
          <w:bCs w:val="1"/>
          <w:rtl w:val="0"/>
        </w:rPr>
        <w:t xml:space="preserve">Rogers-Satchell (RS) Volatility Estimator</w:t>
      </w:r>
      <w:r w:rsidDel="00000000" w:rsidR="00000000" w:rsidRPr="00000000">
        <w:rPr>
          <w:rtl w:val="0"/>
        </w:rPr>
        <w:t xml:space="preserve">. The RS estimator elegantly incorporates the drift term (a mean return not equal to zero), rendering it vastly superior for identifying volatility in strongly trending macro environments. The engine calculates the RS volatility feature over a trailing N-period window using the following equation :</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feeding \sigma_{RS} into the TFT, the 60-minute agent successfully models dynamic portfolio exposure requirements decoupled from the directional trend of the asset itself.</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Mathematical Conflict-Resolution Matrix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architectural challenge of running concurrent ML models across overlapping time horizons is the deterministic resolution of conflicting signals. Standard ensemble architectures often rely on unweighted voting mechanisms, simple arithmetic averaging, or basic linear regressions. These approaches are fundamentally inadequate for automated institutional trading because averaging contradictory probabilities destroys the structural context provided by the temporal hierarchy. If a 5-minute agent predicts a short-term upward spike while the 60-minute agent predicts a massive downward crash, averaging the two to arrive at a "hold" or "neutral" position is mathematically irrational.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solve this, the engine employs a Multi-Agent Deep Reinforcement Learning (MADRL) framework. In this architecture, sub-agents act as independent investors with distinct risk profiles, extracting localized feature representations. They output a multidimensional array containing not just a directional classification, but a continuous probability distribution and a calculated "conviction" (confidence) score. These outputs are submitted to a centralized Mathematical Conflict-Resolution Matrix.</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Continuous-Time Kelly Optimization Framework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conflict-resolution matrix avoids static rules. Instead, it relies on dynamic position sizing derived from the Kelly Criterion. The Kelly Criterion mathematically identifies the exact optimal fraction of capital to wager in order to maximize the geometric growth rate of wealth over an infinite horizon.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However, standard Kelly formulas assume discrete, stationary probabilities. The AI engine adapts Kelly for non-stationary uncertainty by penalizing the baseline Kelly fraction (f^*) with real-time derivations of macro-volatility (\sigma_{RS}) and order flow toxicity (VPIN). As the certainty of the environment degrades, the system algorithmically reduces its exposure, transitioning from absolute wealth maximization to localized risk parity.</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Formalizing the Conflict Resolution Logic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router calculates an aggregate Signal Score (S_{agg}) bounded between -1.0 (Maximum Short) and 1.0 (Maximum Long) and an optimal position size (f_{opt}). Let A represent the set of timeframe agents \{5m, 15m, 60m\}.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agent i, the neural network output vector contains: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\hat{y}_i \in [-1, 1]: The directional signal prediction.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$c_i \in $: The conviction/confidence score, derived from the model's softmax entropy.</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v_i: The historical rolling accuracy (edge) of the specific agent, continually updated via the MADRL reward function.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router calculates a base weight W_i for each agent. These weights are fundamentally asymmetrical and context-dependent:</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Micro-Penalization:</w:t>
      </w:r>
      <w:r w:rsidDel="00000000" w:rsidR="00000000" w:rsidRPr="00000000">
        <w:rPr>
          <w:rtl w:val="0"/>
        </w:rPr>
        <w:t xml:space="preserve"> The 5-minute agent's weight W_{5m} is heavily degraded as Level 2 order flow toxicity (VPIN) rises, because micro-patterns disintegrate during liquidity vacuums.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Macro-Scaling:</w:t>
      </w:r>
      <w:r w:rsidDel="00000000" w:rsidR="00000000" w:rsidRPr="00000000">
        <w:rPr>
          <w:rtl w:val="0"/>
        </w:rPr>
        <w:t xml:space="preserve"> Conversely, the 60-minute agent's weight W_{60m} scales upwards as overall historical volatility (\sigma_{RS}) expands, reflecting the premise that macro-structural forces dominate chaotic high-volatility environments.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resolve severe conflicts (e.g., 5m outputs a 'Strong Buy' at 88% conviction, while the 60m outputs a 'Weak Sell' at 62% conviction), the system defines a </w:t>
      </w:r>
      <w:r w:rsidDel="00000000" w:rsidR="00000000" w:rsidRPr="00000000">
        <w:rPr>
          <w:b w:val="1"/>
          <w:bCs w:val="1"/>
          <w:rtl w:val="0"/>
        </w:rPr>
        <w:t xml:space="preserve">Regime Override Threshold (\tau)</w:t>
      </w:r>
      <w:r w:rsidDel="00000000" w:rsidR="00000000" w:rsidRPr="00000000">
        <w:rPr>
          <w:rtl w:val="0"/>
        </w:rPr>
        <w:t xml:space="preserve">. If the 60m agent's conviction c_{60m} exceeds \tau, and the directional signals \hat{y}_{5m} and \hat{y}_{60m} possess opposing algebraic signs, the router assumes the 5m agent is attempting to trade against an active macroeconomic structural breakdown. Under these conditions, the 5m signal is mathematically crushed—either completely zeroed out (resulting in a "SKIP" action) or severely suppressed to execute a micro-hedge instead of a primary long position.</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Implementation via Python Pseudo-Code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translation of this mathematical framework into executable, low-latency code requires avoiding computationally expensive iterative loops. The following Python pseudo-code details the precise continuous logic utilized by the decision tree router: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from typing import Dict, Tuple</w:t>
        <w:br w:type="textWrapping"/>
        <w:br w:type="textWrapping"/>
        <w:t xml:space="preserve">class MADRLConflictRouter:</w:t>
        <w:br w:type="textWrapping"/>
        <w:t xml:space="preserve">    def __init__(self, kelly_fraction: float = 0.5, override_threshold: float = 0.70):</w:t>
        <w:br w:type="textWrapping"/>
        <w:t xml:space="preserve">        # We employ 'Half-Kelly' to manage drawdown risk in non-stationary markets</w:t>
        <w:br w:type="textWrapping"/>
        <w:t xml:space="preserve">        self.kelly_fraction = kelly_fraction</w:t>
        <w:br w:type="textWrapping"/>
        <w:t xml:space="preserve">        self.tau = override_threshold</w:t>
        <w:br w:type="textWrapping"/>
        <w:t xml:space="preserve">        # Rolling historical edge (v_i) for each agent timeframe</w:t>
        <w:br w:type="textWrapping"/>
        <w:t xml:space="preserve">        self.agent_edge = {'5m': 0.535, '15m': 0.552, '60m': 0.591}</w:t>
        <w:br w:type="textWrapping"/>
        <w:t xml:space="preserve">        </w:t>
        <w:br w:type="textWrapping"/>
        <w:t xml:space="preserve">    def calculate_continuous_kelly(self, win_prob: float, odds_ratio: float = 1.0) -&gt; float:</w:t>
        <w:br w:type="textWrapping"/>
        <w:t xml:space="preserve">        """ Calculates the mathematically optimal exposure fraction. """</w:t>
        <w:br w:type="textWrapping"/>
        <w:t xml:space="preserve">        if win_prob &lt;= 0.50: </w:t>
        <w:br w:type="textWrapping"/>
        <w:t xml:space="preserve">            return 0.0 # No statistical edge</w:t>
        <w:br w:type="textWrapping"/>
        <w:t xml:space="preserve">        kelly_f = win_prob - ((1.0 - win_prob) / odds_ratio)</w:t>
        <w:br w:type="textWrapping"/>
        <w:t xml:space="preserve">        return max(0.0, kelly_f * self.kelly_fraction)</w:t>
        <w:br w:type="textWrapping"/>
        <w:br w:type="textWrapping"/>
        <w:t xml:space="preserve">    def evaluate_signals(</w:t>
        <w:br w:type="textWrapping"/>
        <w:t xml:space="preserve">        self, </w:t>
        <w:br w:type="textWrapping"/>
        <w:t xml:space="preserve">        signal_5m: Dict[str, float], </w:t>
        <w:br w:type="textWrapping"/>
        <w:t xml:space="preserve">        signal_15m: Dict[str, float], </w:t>
        <w:br w:type="textWrapping"/>
        <w:t xml:space="preserve">        signal_60m: Dict[str, float], </w:t>
        <w:br w:type="textWrapping"/>
        <w:t xml:space="preserve">        vpin_toxicity: float,</w:t>
        <w:br w:type="textWrapping"/>
        <w:t xml:space="preserve">        rs_volatility: float</w:t>
        <w:br w:type="textWrapping"/>
        <w:t xml:space="preserve">    ) -&gt; Tuple[str, float]:</w:t>
        <w:br w:type="textWrapping"/>
        <w:t xml:space="preserve">        """</w:t>
        <w:br w:type="textWrapping"/>
        <w:t xml:space="preserve">        Executes the Mathematical Conflict-Resolution Matrix.</w:t>
        <w:br w:type="textWrapping"/>
        <w:t xml:space="preserve">        Signal Dict Structure: {'direction': float [-1.0, 1.0], 'conviction': float [0.0, 1.0]}</w:t>
        <w:br w:type="textWrapping"/>
        <w:t xml:space="preserve">        """</w:t>
        <w:br w:type="textWrapping"/>
        <w:t xml:space="preserve">        dir_5m, conv_5m = signal_5m['direction'], signal_5m['conviction']</w:t>
        <w:br w:type="textWrapping"/>
        <w:t xml:space="preserve">        dir_15m, conv_15m = signal_15m['direction'], signal_15m['conviction']</w:t>
        <w:br w:type="textWrapping"/>
        <w:t xml:space="preserve">        dir_60m, conv_60m = signal_60m['direction'], signal_60m['conviction']</w:t>
        <w:br w:type="textWrapping"/>
        <w:br w:type="textWrapping"/>
        <w:t xml:space="preserve">        # 1. Evaluate the Regime Override Protocol (Conflict Detection)</w:t>
        <w:br w:type="textWrapping"/>
        <w:t xml:space="preserve">        if conv_60m &gt;= self.tau:</w:t>
        <w:br w:type="textWrapping"/>
        <w:t xml:space="preserve">            # Check if 5m is trading against the 60m macro trend</w:t>
        <w:br w:type="textWrapping"/>
        <w:t xml:space="preserve">            if np.sign(dir_5m)!= np.sign(dir_60m) and dir_5m!= 0:</w:t>
        <w:br w:type="textWrapping"/>
        <w:t xml:space="preserve">                # If market flow toxicity is extremely high, abort the micro-trade entirely</w:t>
        <w:br w:type="textWrapping"/>
        <w:t xml:space="preserve">                if vpin_toxicity &gt; 0.85:</w:t>
        <w:br w:type="textWrapping"/>
        <w:t xml:space="preserve">                    return ("ABORT_TOXIC_FLOW", 0.0)</w:t>
        <w:br w:type="textWrapping"/>
        <w:t xml:space="preserve">                else:</w:t>
        <w:br w:type="textWrapping"/>
        <w:t xml:space="preserve">                    # Hedge Scenario: Suppress 5m conviction to prevent overexposure</w:t>
        <w:br w:type="textWrapping"/>
        <w:t xml:space="preserve">                    conv_5m *= 0.15 </w:t>
        <w:br w:type="textWrapping"/>
        <w:br w:type="textWrapping"/>
        <w:t xml:space="preserve">        # 2. Compute Asymmetrical Dynamic Weights</w:t>
        <w:br w:type="textWrapping"/>
        <w:t xml:space="preserve">        # 5m relies on clean market microstructure; high toxicity ruins its edge</w:t>
        <w:br w:type="textWrapping"/>
        <w:t xml:space="preserve">        weight_5m = conv_5m * self.agent_edge['5m'] * max(0.0, (1.0 - vpin_toxicity))</w:t>
        <w:br w:type="textWrapping"/>
        <w:t xml:space="preserve">        </w:t>
        <w:br w:type="textWrapping"/>
        <w:t xml:space="preserve">        # 15m operates as baseline momentum</w:t>
        <w:br w:type="textWrapping"/>
        <w:t xml:space="preserve">        weight_15m = conv_15m * self.agent_edge['15m']</w:t>
        <w:br w:type="textWrapping"/>
        <w:t xml:space="preserve">        </w:t>
        <w:br w:type="textWrapping"/>
        <w:t xml:space="preserve">        # 60m edge is amplified during high macro volatility</w:t>
        <w:br w:type="textWrapping"/>
        <w:t xml:space="preserve">        weight_60m = conv_60m * self.agent_edge['60m'] * (1.0 + (rs_volatility * 0.4))</w:t>
        <w:br w:type="textWrapping"/>
        <w:br w:type="textWrapping"/>
        <w:t xml:space="preserve">        total_weight = weight_5m + weight_15m + weight_60m</w:t>
        <w:br w:type="textWrapping"/>
        <w:t xml:space="preserve">        if total_weight == 0.0:</w:t>
        <w:br w:type="textWrapping"/>
        <w:t xml:space="preserve">            return ("NEUTRAL", 0.0)</w:t>
        <w:br w:type="textWrapping"/>
        <w:br w:type="textWrapping"/>
        <w:t xml:space="preserve">        # 3. Aggregate Directional Computations</w:t>
        <w:br w:type="textWrapping"/>
        <w:t xml:space="preserve">        agg_direction = (</w:t>
        <w:br w:type="textWrapping"/>
        <w:t xml:space="preserve">            (dir_5m * (weight_5m / total_weight)) + </w:t>
        <w:br w:type="textWrapping"/>
        <w:t xml:space="preserve">            (dir_15m * (weight_15m / total_weight)) + </w:t>
        <w:br w:type="textWrapping"/>
        <w:t xml:space="preserve">            (dir_60m * (weight_60m / total_weight))</w:t>
        <w:br w:type="textWrapping"/>
        <w:t xml:space="preserve">        )</w:t>
        <w:br w:type="textWrapping"/>
        <w:t xml:space="preserve">        </w:t>
        <w:br w:type="textWrapping"/>
        <w:t xml:space="preserve">        # 4. Final Router Sizing Logic</w:t>
        <w:br w:type="textWrapping"/>
        <w:t xml:space="preserve">        action = "HOLD"</w:t>
        <w:br w:type="textWrapping"/>
        <w:t xml:space="preserve">        optimal_size = 0.0</w:t>
        <w:br w:type="textWrapping"/>
        <w:t xml:space="preserve">        </w:t>
        <w:br w:type="textWrapping"/>
        <w:t xml:space="preserve">        # Require an absolute aggregate threshold to prevent trading on noise</w:t>
        <w:br w:type="textWrapping"/>
        <w:t xml:space="preserve">        if abs(agg_direction) &gt; 0.35:</w:t>
        <w:br w:type="textWrapping"/>
        <w:t xml:space="preserve">            action = "EXECUTE_LONG" if agg_direction &gt; 0 else "EXECUTE_SHORT"</w:t>
        <w:br w:type="textWrapping"/>
        <w:t xml:space="preserve">            # Translate the aggregate vector strength into a pseudo-probability for Kelly</w:t>
        <w:br w:type="textWrapping"/>
        <w:t xml:space="preserve">            composite_prob = 0.50 + (abs(agg_direction) * 0.50) </w:t>
        <w:br w:type="textWrapping"/>
        <w:t xml:space="preserve">            optimal_size = self.calculate_continuous_kelly(composite_prob)</w:t>
        <w:br w:type="textWrapping"/>
        <w:t xml:space="preserve">            </w:t>
        <w:br w:type="textWrapping"/>
        <w:t xml:space="preserve">        return action, optimal_size</w:t>
        <w:br w:type="textWrapping"/>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mathematical routing ensures that a highly convicted micro-signal is never blindly executed into an unfolding macro-drawdown, actively utilizing mathematical optimization to govern portfolio-level performance.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Hardware Allocation and Execution Latency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Processing high-frequency Level 2 tick data, aggregating complex technical features, executing parallel inferences across three distinct deep learning topologies (LSTM, BiLSTM, TFT), traversing the MADRL mathematical conflict matrix, and generating a validated FIX protocol network payload must collectively conclude within 150 milliseconds. This exceptionally strict temporal constraint necessitates highly specialized deployment infrastructure and effectively renders contemporary web-application paradigms obsolete.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Incompatibility of Serverless Environments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proposition of executing latency-critical quantitative trading logic within serverless frameworks—such as Vercel, Neon, or AWS Lambda—is fundamentally flawed and structurally incompatible with the realities of Level 2 order flow. Serverless computing abstractions are designed for event-driven, stateless HTTP/HTTPS invocations. They rely on dynamic container provisioning and aggressive idle hibernation to maximize cloud efficiency.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mechanisms introduce non-deterministic "cold start" latencies that frequently exceed 500 milliseconds, violating the entire 150ms execution budget on a single instantiation. Furthermore, the ingestion of Level 2 tick streams demands persistent, long-lived bidirectional connections (such as deeply optimized WebSockets or Server-Sent Events) which are antithetical to the stateless nature of serverless functions.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Most critically, time-series machine learning models—particularly LSTMs—require continuous, stateful memory retention to preserve the recurrent hidden states and cell states between time steps. Serverless environments violently purge this memory context between function invocations, necessitating complete re-computations of the entire historical sequence for every single tick, rendering the approach computationally disastrous.</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Bare-Metal Cloud Infrastructure and Hardware Acceleration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satisfy the 150ms budget, the trading system must be deployed on dedicated, bare-metal infrastructure or deeply optimized, hardware-accelerated cloud instances. On AWS, the system utilizes EC2 clusters pairing compute-optimized CPUs (e.g., AWS Graviton3 or Intel Xeon Scalable instances) with dedicated High-Bandwidth Memory (HBM) graphical processing units such as NVIDIA A100 or H100 arrays.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networking layer must utilize Single-Root Input/Output Virtualization (SR-IOV) and Elastic Network Adapters (ENA) to bypass the host hypervisor, ensuring that the latency from the Exchange Gateway API to the internal microservices remains bounded to sub-millisecond physical transport times.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Inference Optimization via NVIDIA Triton and TensorRT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Deploying raw PyTorch or TensorFlow models within Python environments invokes the Global Interpreter Lock (GIL) and relies on highly inefficient execution graphs, making real-time prediction impossible. To bridge the gap between mathematical model graphs and the underlying GPU silicon, the architecture integrates the NVIDIA Triton Inference Server working in tandem with TensorRT.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Triton Inference Server:</w:t>
      </w:r>
      <w:r w:rsidDel="00000000" w:rsidR="00000000" w:rsidRPr="00000000">
        <w:rPr>
          <w:rtl w:val="0"/>
        </w:rPr>
        <w:t xml:space="preserve"> NVIDIA Triton serves as the ultra-low latency model orchestration layer. By configuring Triton under a "closed division" protocol—where both the inference client and the prediction server operate on the identical physical node—the system utilizes local loopback network interfaces or shared memory via gRPC, eradicating external network propagation delays. Triton also controls in-flight dynamic batching, intelligently aggregating the massive influx of simultaneous order book inferences to maximize GPU throughput without sacrificing latency.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TensorRT Graph Compilation:</w:t>
      </w:r>
      <w:r w:rsidDel="00000000" w:rsidR="00000000" w:rsidRPr="00000000">
        <w:rPr>
          <w:rtl w:val="0"/>
        </w:rPr>
        <w:t xml:space="preserve"> Prior to deployment, the LSTM, BiLSTM, and Temporal Fusion Transformer models are statically compiled and heavily optimized via NVIDIA TensorRT. TensorRT aggressively transforms the neural network architecture by mathematically fusing calculation layers, dramatically reducing the memory overhead. Crucially, the models are subjected to quantization, wherein 32-bit floating-point (FP32) weights are reduced to FP16 or FP8 representations. On NVIDIA Hopper (H100) architecture, FP8 computation realizes up to an 8x speedup with virtually zero loss in statistical predictive accuracy. Furthermore, TensorRT implements pinned memory management, maximizing the overlap between CPU-to-GPU memory copies and live compute cycles, virtually eliminating PCI-Express bus bottlenecks.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environments where specific agents must execute solely on CPU environments, ONNX Runtime functions as the bridge alignment layer, tuning latency and computational footprint while isolating the model from underlying device idiosyncrasies.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The 150-Millisecond Budget Profile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uniting specialized networking hardware, hardware-compiled algorithms, and lock-free memory management, the system mathematically satisfies the required performance metrics. The strict 150-millisecond latency budget is profiled and rigidly audited across four discrete pipeline segments: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Stage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Tasks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Technological Implementation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Latency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Ingestion &amp; Prep</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Subscribing to Level 2 stream, parsing messages, building OHLCV bars.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Redis Pub/Sub, zero-allocation memory, bypassing JSON parsing.</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2 - 5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Feature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Computing VPIN and Rogers-Satchell drift-adjusted volatility vectors.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C++/Cython extensions via LMAX Disruptor ring buffer atomic reads.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8 - 15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Model Inference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Parallel evaluation of the 5m LSTM, 15m BiLSTM, and 60m TFT models.</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NVIDIA Triton Server, TensorRT graph fusion, FP8 quantization on A100.</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30 - 45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Routing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MADRL conflict-resolution matrix, calculating continuous Kelly sizing fractions.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CPU-bound vector multiplication, executing logic from the central Python router.</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3 - 6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Gateway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FIX protocol payloads and transmitting via network interface cards.</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DPDK (Data Plane Development Kit) or OpenOnload kernel bypass logic.</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15 - 25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Round Trip</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End-to-end evaluation from tick arrival to exchange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Unified systems integration.</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 58 - 96 ms</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abandoning generic serverless web constructs and committing to high-performance computing tenets—such as SRAM-based inference pipelines, TensorRT optimization, and lock-free thread IPC structures —the entire multi-timeframe architectural matrix natively operates with a comfortable margin beneath the absolute 150-millisecond execution threshold. This deterministic infrastructure forms the ultimate bedrock for a predictive trading intelligence that acts with unyielding mathematical precision.</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Neural Network-Based Algorithmic Trading Systems: Multi-Timeframe Analysis and High-Frequency Execution in Cryptocurrency Markets - arXiv, https://arxiv.org/html/2508.02356 2. Multi-Timeframe Feature Engineering for Bitcoin Market Prediction: A Price-Level-Agnostic Machine Learning Approach - Preprints.org, https://www.preprints.org/manuscript/202603.0994 3. A multi-agent deep reinforcement learning framework using multiple timeframe data for algorithmic trading - UPCommons, https://upcommons.upc.edu/bitstreams/1e223b97-cf36-4456-b32b-ad5a6e29a0cd/download 4. GitHub - jsgaston/Mastering-Algorithmic-Trading-with-Deep-Learning-A-Comprehensive-Guide-to-LSTM-Based-Trading-Systems: presents an in-depth exploration of a cutting-edge trading architecture that combines the predictive power of Long Short-Term Memory (LSTM) neural networks with the precise execution capabilities of MetaTrader 5., https://github.com/jsgaston/Mastering-Algorithmic-Trading-with-Deep-Learning-A-Comprehensive-Guide-to-LSTM-Based-Trading-Systems 5. How I built a Kafka based pipeline to handle 100M+ daily messages with 200ms latency for my ML agents : r/ai_trading - Reddit, https://www.reddit.com/r/ai_trading/comments/1ry28z5/how_i_built_a_kafka_based_pipeline_to_handle_100m/ 6. Building a Scalable, Low-Latency Real-Time Trading System — Detailed Walkthrough | by Himanshu Jain | Medium, https://medium.com/@himanshu2915j/building-a-scalable-low-latency-real-time-trading-system-detailed-walkthrough-7f7ea0be885c 7. Building a High-Frequency Trading System With Hybrid Strategy (Redis &amp; InfluxDB) : From 10ms to Sub-Millisecond Latency — Part1 (Educational/Learning Purpose) - Abhishek Jain, https://vardhmanandroid2015.medium.com/building-a-high-frequency-trading-system-with-hybrid-strategy-redis-influxdb-from-10ms-to-85716febefcb 8. How a Tier‑1 Bank Tuned Apache Kafka® for p99 ... - Confluent, https://www.confluent.io/blog/tier-1-bank-ultra-low-latency-trading-design/ 9. Understanding the LMAX Disruptor - ITNEXT, https://itnext.io/understanding-the-lmax-disruptor-caaaa2721496 10. High-Performance Inter-Process Communication Between C and Python - Rafal Kwasny, https://rafalkwasny.com/message-queue-c-python-lmax-disruptor 11. LMAX Disruptor – High Performance Inter-Thread Messaging Library | Hacker News, https://news.ycombinator.com/item?id=38313457 12. Design and Implementation of a Low-Latency High-Frequency Trading System for Cryptocurrency Markets | by Jung-Hua Liu | Medium, https://medium.com/@gwrx2005/design-and-implementation-of-a-low-latency-high-frequency-trading-system-for-cryptocurrency-markets-a1034fe33d97 13. StockBot 2.0: Vanilla LSTMs Outperform Transformer-based Forecasting for Stock Prices, https://arxiv.org/html/2601.00197v1 14. A scalable machine learning strategy for resource allocation in database - PMC - NIH, https://pmc.ncbi.nlm.nih.gov/articles/PMC12368247/ 15. Multiple models for multiple timeframes? : r/quant - Reddit, https://www.reddit.com/r/quant/comments/1rqxrnm/multiple_models_for_multiple_timeframes/ 16. [D] Are Transformers Strictly More Effective Than LSTM RNNs? : r/MachineLearning - Reddit, https://www.reddit.com/r/MachineLearning/comments/gqxcjq/d_are_transformers_strictly_more_effective_than/ 17. An AI-Enhanced Forecasting Framework: Integrating LSTM and Transformer-Based Sentiment for Stock Price Prediction - Anser Press, https://www.anserpress.org/journal/jea/display/428/jea-00109.pdf 18. Temporal Fusion Transformer Based Vertical Scaling Management for Kubernetes - UPCommons, https://upcommons.upc.edu/bitstreams/c4e9f266-395b-4825-a6b0-56b5d1615b98/download 19. Forecasting Realized Volatility in Turbulent Times using Temporal Fusion Transformers - Institute for Economics - FAU Erlangen-Nürnberg, https://www.iwf.rw.fau.de/files/2023/02/03_2023.pdf 20. Stock Price Prediction Based on Temporal Fusion Transformer - IEEE Xplore, https://ieeexplore.ieee.org/document/9731073/1000 21. Temporal Fusion Transformer-Based Trading Strategy for Multi-Crypto Assets Using On-Chain and Technical Indicators - MDPI, https://www.mdpi.com/2079-8954/13/6/474 22. An Empirical Analysis on Financial Markets: Insights from the Application of Statistical Physics - arXiv, https://arxiv.org/html/2308.14235v6 23. An Empirical Analysis on Financial Markets: Insights from the Application of Econophysics, https://www.researchgate.net/publication/399499518_An_Empirical_Analysis_on_Financial_Markets_Insights_from_the_Application_of_Econophysics 24. An Improved Version of the Volume-Synchronized Probability of Informed Trading | Critical Finance Review | Emerald Publishing, https://www.emerald.com/cfr/article/6/2/357/1322413/An-Improved-Version-of-the-Volume-Synchronized 25. BV–VPIN: Measuring the impact of order flow toxicity and liquidity on international equity markets, https://randlow.github.io/2018_JR_BV_VPIN_rev.pdf 26. VPIN 1 The Volume Synchronized Probability of INformed Trading, commonly known as VPIN, is a mathematical model used in financia - QuantResearch.org, https://www.quantresearch.org/VPIN.pdf 27. Parameter Analysis of the VPIN (Volume synchronized Probability of Informed Trading) Metric - eScholarship.org, https://escholarship.org/content/qt2sr9m6gk/qt2sr9m6gk_noSplash_31c899ac57bd2a510b3277cbbacb36b5.pdf?t=n5mc4c 28. Volume-Synchronized Probability of Informed Trading (VPIN), Market Volatility, and High-Frequency Liquidity - SciSpace, https://scispace.com/pdf/volume-synchronized-probability-of-informed-trading-vpin-3afk7rj2zq.pdf 29. About VPIN(Volume-Synchronized Probability of Informed Trading) | by Jaaeehoonkim, https://medium.com/@jaaeehoonkim/about-vpin-volume-synchronized-probability-of-informed-trading-eddd76bcc48e 30. VPIN: The Coolest Market Metric You've Never Heard Of | by Krypton Labs | Medium, https://medium.com/@kryptonlabs/vpin-the-coolest-market-metric-youve-never-heard-of-e7b3d6cbacf1 31. Multi-Timeframe Algorithmic Trading Bots Using Thick Data Heuristics with Deep Reinforcement Learning, https://wiserpub.com/uploads/1/20221205/f3c8fa871419c7b6c14065fa26253a2a.pdf 32. THE GARMAN–KLASS VOLATILITY ESTIMATOR REVISITED - INE, https://www.ine.pt/revstat/pdf/rs110301.pdf 33. Lecture 17_2: Case Study: Estimating Historical Volatility of the S&amp;P 500 - MIT OpenCourseWare, https://ocw.mit.edu/courses/18-642-topics-in-mathematics-with-applications-in-finance-fall-2024/mit18_642_f24_lec17_2.pdf 34. Range-Based Volatility Estimators: Overview and Examples of Usage - Portfolio Optimizer, https://portfoliooptimizer.io/blog/range-based-volatility-estimators-overview-and-examples-of-usage/ 35. MEASURING HISTORICAL VOLATILITY - WordPress.com, https://dynamiproject.files.wordpress.com/2016/01/measuring_historic_volatility.pdf 36. How To Compute Volatility 6 Ways Most People Don't Know - PyQuant News, https://www.pyquantnews.com/the-pyquant-newsletter/how-to-compute-volatility-6-ways 37. Volatility Estimators - Quantreo, https://docs.quantreo.com/features-engineering/volatility/ 38. Adaptive LLM-based multi-agent systems to enhance quantitative trading performance - PeerJ, https://peerj.com/articles/cs-3630.pdf 39. Reimagining Classic Strategies (Part VI): Multiple Time-Frame Analysis - MQL5 Articles, https://www.mql5.com/en/articles/15610 40. Enhancing Multi-Agent Deep Reinforcement Learning (MADRL) for Financial Trading - DiVA Portal, https://www.diva-portal.org/smash/get/diva2:1955587/FULLTEXT01.pdf 41. Sizing the Risk: Kelly, VIX, and Hybrid Approaches in Put-Writing on Index Options - arXiv, https://arxiv.org/html/2508.16598v1 42. How to apply the Kelly criterion when expected return may be negative?, https://quant.stackexchange.com/questions/2500/how-to-apply-the-kelly-criterion-when-expected-return-may-be-negative 43. Practical Implementation of the Kelly Criterion: Optimal Growth Rate, Number of Trades, and Rebalancing Frequency for Equity Portfolios - Frontiers, https://www.frontiersin.org/journals/applied-mathematics-and-statistics/articles/10.3389/fams.2020.577050/full 44. Using the Kelly Criterion for Investing, https://webhomes.maths.ed.ac.uk/mckinnon/blackouts/StochOptFinanceAndEnergySpringer/Chap1_KellyZiemba.pdf 45. The Kelly criterion in the presence of uncertainty about risk - Outcast Beta, https://outcastbeta.com/the-kelly-criterion-in-the-presence-of-uncertainty-about-risk/ 46. A Multi‑Agent Reinforcement Learning — Ensemble Portfolio Optimization: Part one, https://medium.com/@abatrek059/a-multi-agent-reinforcement-learning-ensemble-portfolio-optimization-part-one-6eacb45c4444 47. TradingAgents: Multi-Agents LLM Financial Trading Framework, https://tradingagents-ai.github.io/ 48. AI Model Inference Service: An Overview - Alibaba Cloud Community, https://www.alibabacloud.com/blog/602002 49. Track: Poster Session 3 - MLSys 2026, https://mlsys.org/virtual/2026/session/3719 50. Time Series Forecasting with the NVIDIA Time Series Prediction Platform and Triton Inference Server | NVIDIA Technical Blog, https://developer.nvidia.com/blog/time-series-forecasting-with-the-nvidia-time-series-prediction-platform-and-triton-inference-server/ 51. Benchmarking cross‑platform AI: Web Assembly, ONNX Runtime and TVM for Real‑Time Web, Mobile, and IoT Deployment, https://wjarr.com/sites/default/files/fulltext_pdf/WJARR-2025-1832.pdf 52. vLLM vs Triton vs TGI: Choosing the Right LLM Serving Framework - Clarifai, https://www.clarifai.com/blog/model-serving-framework/ 53. Host ML models on Amazon SageMaker using Triton: TensorRT models - AWS, https://aws.amazon.com/blogs/machine-learning/host-ml-models-on-amazon-sagemaker-using-triton-tensorrt-models/ 54. NVIDIA Triton Inference Server Achieves Outstanding Performance in MLPerf Inference 4.1 Benchmarks, https://developer.nvidia.com/blog/nvidia-triton-inference-server-achieves-outstanding-performance-in-mlperf-inference-4-1-benchmarks/ 55. 8 Triton/TensorRT-LLM Pipelines with Fast Stores | by Thinking, https://medium.com/@ThinkingLoop/8-triton-tensorrt-llm-pipelines-with-fast-stores-d71a8df140ac 56. Learning ONNX for trading - Futures Trading - Trading Systems - MQL5 programming forum, https://www.mql5.com/en/forum/444634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