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Design and Prompt Engineering for Financial Retrieval-Augmented Generation Pipelines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in Financial Natural Language Processing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generative artificial intelligence within quantitative finance and institutional research necessitates a fundamental paradigm shift from probabilistic text generation to deterministic, schema-enforced data extraction. Large Language Models (LLMs) possess vast parametric memory acquired during their initial training phases. However, when applied to the highly volatile and regulated financial domain, relying on this static, internal knowledge leads to unacceptable rates of hallucination, factual degradation, and non-compliant analytical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Financial markets operate on real-time data where a single erroneous metric can trigger massive algorithmic capital deployment errors. To mitigate these systemic failures, the Retrieval-Augmented Generation (RAG) architecture has emerged as the foundational framework for grounding language models in verifiable, external knowledge.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RAG pipeline designed to ingest and systematically grade highly heterogeneous financial data requires an architecture that extends far beyond standard semantic vector search. The objective is to process daily Securities and Exchange Commission (SEC) Form 10-K annual reports, SEC Form 13F institutional holding disclosures, and the relentless stream of global financial news, translating this unstructured text into actionable trading signals.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Vanilla RAG systems are fundamentally ill-equipped to handle such enterprise financial workflows.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They treat all data sources uniformly, fail to preserve the hierarchical structure of complex regulatory filings, lack built-in hallucination mitigation algorithms, and frequently fail to adhere to the rigid output schemas required by downstream trading databases.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details the design of an expert-level, finance-aware RAG pipeline. The architecture is engineered to enforce strict data-structuring logic prior to ingestion, apply complex mathematical weighting to prioritize official regulatory documents over ephemeral social media news, and execute a master system prompt that forces the LLM to output a rigid JSON object. This final payload must contain a continuous Sentiment Score bounded between -1.0 and +1.0, accompanied by a strictly enforced three-sentence Explainable AI Thesis. Through multi-layered defense mechanisms, layout-aware parsing, and reinforcement-learning-backed schema enforcement, the resulting pipeline transforms unstructured financial noise into high-fidelity, machine-readable signals suitable for systematic equity funds and institutional risk analysis.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Parsing and Ontological Data Structuring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 high-performance financial RAG pipeline is not the retrieval mechanism itself, but rather the rigorous pre-processing and ontological structuring of the source corpora prior to embedding.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pipeline must seamlessly process three distinct data modalities—long-form regulatory filings, tabular holdings data, and high-frequency news—each presenting unique structural and semantic challenges.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the Shredder Effect in SEC 10-K Filings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 Form 10-K filings are dense, multi-page regulatory documents that serve as the definitive source of a publicly traded company's financial health, operational risks, and corporate strategy.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fundamental flaw in conventional RAG pipelines is the application of naive, recursive character splitting. Standard enterprise RAG systems often process these massive documents by slicing them into small, digestible chunks of uniform length, effectively operating like a paper shredder.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process destroys the anatomical structure of the document, stripping away the underlying context that gives the data its actual meaning.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10-K filing, context is entirely dependent on the section from which the text is extracted. A statement regarding supply chain disruptions carries a vastly different analytical weight if it is located in "Item 1A. Risk Factors" versus "Item 7. Management’s Discussion and Analysis".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a naive text splitter separates a financial metric from its parent header, the downstream LLM receives an orphaned data point, forcing it to synthesize answers from isolated fragments and frequently leading to high-confidence hallucinations.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Consider the practical example of a major semiconductor manufacturer's 10-K report, which may span hundreds of pages. The qualitative details regarding government export restrictions on high-end hardware may reside in the Risk Factors section, while the quantitative geographical revenue exposure resides entirely in a different section.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 analyst or trading algorithm querying the system for revenue exposure related to export controls requires the LLM to understand the intersection of these two disparate sections. Neither section answers the question independently. The LLM can only produce a faithful response if the retrieval system hands it both sections, with the contextual links preserved.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structural degradation, the ingestion pipeline must utilize layout-aware document parsing. Documents are first evaluated to generate a hierarchical table of contents, allowing the text to be parsed into structured formats, such as Markdown, utilizing advanced parsing frameworks to recognize natural page boundaries and logical section headers.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chunking strategy must then operate hierarchically to preserve the document's anatomy. The document is initially split into "parent chunks" based on logical sections (e.g., "Consolidated Balance Sheet", "Chairman's Letter") using markdown header text splitters.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Subsequently, these parent sections are divided into "child chunks" using recursive character splitters to fit the embedding model's context window. Empirical testing on corpora consisting of decades of SEC filings demonstrates that utilizing an 1,800-token chunk size with a 300-token overlap effectively balances semantic density with retrieval efficiency.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Crucially, every resulting child chunk is explicitly tagged with comprehensive metadata: its parent document title, accession number, chronological timestamp, and specific section header.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ensures that every chunk carries its context into the vector index, enabling section-aware retrieval.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10-K filings contain extensive tabular data. Standard HTML or PDF parsers frequently break these structures, stripping row and column alignments and presenting critical financial numbers as a flat, incomprehensible list without any indication of what time period or asset class they belong to.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tabular data is flattened, the LLM cannot accurately associate a specific financial metric with its corresponding fiscal quarter.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Bad input fundamentally guarantees bad output, regardless of the language model's capabilities.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pipeline must therefore extract tables as distinct, structurally preserved entities, embedding them with explicit row-column metadata and utilizing structure-aware upstream chunking to maintain semantic relationships during vector search.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SEC Form 13F Tabular Data into Relational Graphs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 Form 13F is a mandatory quarterly report filed by institutional investment managers exercising investment discretion over $100 million or more in qualifying United States equity assets.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these documents are publicly available via the SEC EDGAR database, they are fundamentally tabular and relational rather than narrative.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Ingesting 13F filings into a standard textual RAG pipeline presents a severe structural mismatch. The value of 13F data lies in revealing institutional co-holdings, entry and exit positions, and portfolio concentrations across the broader market.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because these forms are reported quarterly with a 45-day regulatory lag, they introduce a significant temporal blind spot into the pipeline, failing to capture high-frequency position adjustments made by hedge funds during rapidly evolving crises.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Therefore, 13F data cannot be relied upon for real-time sentiment shifts, but rather serves as a foundational baseline for institutional positioning.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utilize 13F data alongside textual narratives, the pipeline must translate these tabular holdings into citational knowledge graphs or synthetic narrative text summaries prior to embedding.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Rather than attempting to embed raw CSV rows representing shares and CUSIP numbers—which vector databases struggle to map semantically—the system programmatically generates narrative chunks. For example, a dedicated 13F ingestion script converts the raw API feed into structured text: "As of the end of Q3, Institutional Manager X increased its holding in Ticker Y by 15 percent, representing a total position value of Z." This semantic translation allows the embedding model to mathematically map the relationship between a specific institutional action and subsequent news sentiment regarding that same ticker.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creating citational knowledge graphs from tens of thousands of unique filings, the system can track the intricate relationships between filers, providing the LLM with a holistic view of institutional market sentiment.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High-Frequency Global Financial News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stark contrast to the highly structured, quarterly cadence of SEC filings, global financial news is high-frequency, continuously updated, and heavily unstructured.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News articles, press releases, analyst commentary, and social media feeds inform the market about macroeconomic shifts, supply chain disruptions, and opinionated analyses.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architectural challenge with news ingestion is aggressive noise reduction. Unlike legally binding regulatory filings that undergo rigorous auditing, news data is rife with speculation, varying degrees of editorial bias, redundant syndication across multiple platforms, and unverified rumors.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relying on scraping infrastructure introduces maintenance liabilities, such as handling anti-bot detection and fixing broken selectors after site redesigns.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Modern pipelines circumvent this by relying on direct institutional APIs that provide clean, structured news feeds.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ingestion module for news must implement rigorous deduplication algorithms and aggressive metadata annotation. Each news article is tagged with specific topic categories, identified financial entities, event classifications, and precise publication timestamps down to the millisecond.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chronological precision is critical for the pipeline's subsequent retrieval and weighting logic, ensuring the LLM can differentiate between an outdated market rumor from earlier in the trading session and a real-time, factual event confirmed by a primary source.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Context-Aware Retrieval and Source Weighting Mathematics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high-stakes financial context, treating all data sources equally during the retrieval phase is a catastrophic architectural flaw.</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vanilla RAG system retrieves documents based solely on cosine similarity or Euclidean distance in the high-dimensional vector space.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creates a severe vulnerability: if a user query asks about a company's revenue outlook, a highly sensationalized, semantically dense Twitter post containing aggressive keywords might achieve a higher vector similarity score than a dry, factual 10-K filing that addresses the exact same topic.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prevent social media noise from overriding audited financial truths, the architecture must implement a sophisticated, context-aware data source weighting mechanism.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Authority-Based Re-Ranking Architecture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an initial hybrid search phase—which combines dense vector retrieval for semantic understanding with sparse BM25 keyword matching for exact entity recognition—the system yields a broad candidate pool of document chunks. The pipeline must then apply a deterministic, authority-based re-ranking algorithm to narrow these candidates down to the absolute highest-fidelity sources.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mechanism dynamically adjusts the raw retrieval score based on predefined source authority, temporal relevance, and contextual metadata.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credibility must be enforced hierarchically. Regulatory documents carry strict legal liability and undergo external auditing, whereas general news and social media commentary do not.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the system applies hardcoded authority multipliers to the retrieved chunks based on their origin. Drawing upon established production-grade financial RAG frameworks, the mathematical weighting distribution is structured to force the prioritization of empirical facts.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 Type Examples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Authority Weight Multiplier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1: Regulatory &amp; Legal Binding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10-K, 10-Q, 8-K, 13F Filings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(Maximum)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2: Macroeconomic &amp; Government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Bank Publications, Fed Transcripts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3: Corporate Direct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Earnings Call Transcripts, Press Releases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4: Professional 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Analyst Reports, Dow Jones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5: General Financial Media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News Articles, Reuters, Bloomberg Syndication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6: Unverified / Social Commentary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Twitter/X, General Web Forums, Reddit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0.30</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applying a maximum </w:t>
      </w: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327943" cy="221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weight to official SEC documents and a heavily discounted </w:t>
      </w: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27943" cy="221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27943" cy="221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weight to news and social media, the system mathematically forces the retriever to rank audited financials above journalistic interpretation, explicitly solving the problem of news dominating the context window.</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Exponential Recency Decay Modeling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data exhibits a notoriously severe half-life. A regulatory precedent from 1973 may remain a cornerstone in a legal RAG system, but a revenue projection from five years ago is entirely irrelevant—and actively harmful—to current algorithmic trading strategies.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Therefore, the system implements an aggressive recency decay function that calculates the age of the document chunk at the moment of the query.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Documents published within the current fiscal year receive a maximum temporal multiplier of 1.0. This score decays aggressively and exponentially over time, reaching a hard floor weight of 0.1 for any document content that is older than ten years.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temporal discounting ensures that while the LLM has access to historical baseline data if specifically requested, the retrieval pipeline inherently biases toward the most current market conditions, preventing the synthesis of an analytical thesis based on outdated macroeconomic paradigms.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Metric and Contextual Presence Weighting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evaluating the source origin and time of publication, the re-ranker evaluates the dense presence of hard financial entities within the text chunk itself.</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Chunks that contain identifiable corporate entities, specific ticker symbols, or explicit financial figures receive a heightened metric presence weight of 0.7.</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Conversely, chunks containing generic preamble text, broad disclaimers, or high-level summaries are de-emphasized with a score of 0.3.</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contextual weighting ensures the system focuses its retrieval power on the methodological and data-rich sections of a document rather than redundant introductions, significantly improving the precision of the context window.</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Formulation of the Retrieval Score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adjusted retrieval score for any given document chunk retrieved from a specific data source can be modeled as a composite mathematical function. This function synthesizes the original vector similarity score with the applied heuristic weights to generate a final ranking metric.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formulation is expressed as follows: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5521"/>
            <wp:effectExtent b="0" l="0" r="0" t="0"/>
            <wp:docPr id="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equation, </w:t>
      </w:r>
      <w:r w:rsidDel="00000000" w:rsidR="00000000" w:rsidRPr="00000000">
        <w:rPr>
          <w:rFonts w:ascii="Google Sans" w:cs="Google Sans" w:eastAsia="Google Sans" w:hAnsi="Google Sans"/>
          <w:color w:val="1f1f1f"/>
        </w:rPr>
        <w:drawing>
          <wp:inline distB="19050" distT="19050" distL="19050" distR="19050">
            <wp:extent cx="511151" cy="227178"/>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11151" cy="2271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adjusted retrieval score for document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w:t>
      </w:r>
      <w:r w:rsidDel="00000000" w:rsidR="00000000" w:rsidRPr="00000000">
        <w:rPr>
          <w:rFonts w:ascii="Google Sans" w:cs="Google Sans" w:eastAsia="Google Sans" w:hAnsi="Google Sans"/>
          <w:color w:val="1f1f1f"/>
        </w:rPr>
        <w:drawing>
          <wp:inline distB="19050" distT="19050" distL="19050" distR="19050">
            <wp:extent cx="557213" cy="226663"/>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7213" cy="22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original vector search score. The variables </w:t>
      </w:r>
      <w:r w:rsidDel="00000000" w:rsidR="00000000" w:rsidRPr="00000000">
        <w:rPr>
          <w:rFonts w:ascii="Google Sans" w:cs="Google Sans" w:eastAsia="Google Sans" w:hAnsi="Google Sans"/>
          <w:color w:val="1f1f1f"/>
        </w:rPr>
        <w:drawing>
          <wp:inline distB="19050" distT="19050" distL="19050" distR="19050">
            <wp:extent cx="358825" cy="226626"/>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58825" cy="2266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5636" cy="229861"/>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25636" cy="229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77131" cy="226279"/>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77131" cy="226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 to the contextual weights for source authority, recency, and metric presence, respectively.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coefficients </w:t>
      </w:r>
      <w:r w:rsidDel="00000000" w:rsidR="00000000" w:rsidRPr="00000000">
        <w:rPr>
          <w:rFonts w:ascii="Google Sans" w:cs="Google Sans" w:eastAsia="Google Sans" w:hAnsi="Google Sans"/>
          <w:color w:val="1f1f1f"/>
        </w:rPr>
        <w:drawing>
          <wp:inline distB="19050" distT="19050" distL="19050" distR="19050">
            <wp:extent cx="366043" cy="231185"/>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66043" cy="231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5743" cy="230711"/>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05743" cy="230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tunable hyperparameters that dictate the relative importance of each factor within the specific RAG application. In a strict financial architecture designed to favor SEC documents, authority (</w:t>
      </w:r>
      <w:r w:rsidDel="00000000" w:rsidR="00000000" w:rsidRPr="00000000">
        <w:rPr>
          <w:rFonts w:ascii="Google Sans" w:cs="Google Sans" w:eastAsia="Google Sans" w:hAnsi="Google Sans"/>
          <w:color w:val="1f1f1f"/>
        </w:rPr>
        <w:drawing>
          <wp:inline distB="19050" distT="19050" distL="19050" distR="19050">
            <wp:extent cx="118690" cy="23738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18690" cy="237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typically commands the highest coefficient weight at 40%, while recency (</w:t>
      </w:r>
      <w:r w:rsidDel="00000000" w:rsidR="00000000" w:rsidRPr="00000000">
        <w:rPr>
          <w:rFonts w:ascii="Google Sans" w:cs="Google Sans" w:eastAsia="Google Sans" w:hAnsi="Google Sans"/>
          <w:color w:val="1f1f1f"/>
        </w:rPr>
        <w:drawing>
          <wp:inline distB="19050" distT="19050" distL="19050" distR="19050">
            <wp:extent cx="114077" cy="228154"/>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14077" cy="22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metric presence (</w:t>
      </w:r>
      <w:r w:rsidDel="00000000" w:rsidR="00000000" w:rsidRPr="00000000">
        <w:rPr>
          <w:rFonts w:ascii="Google Sans" w:cs="Google Sans" w:eastAsia="Google Sans" w:hAnsi="Google Sans"/>
          <w:color w:val="1f1f1f"/>
        </w:rPr>
        <w:drawing>
          <wp:inline distB="19050" distT="19050" distL="19050" distR="19050">
            <wp:extent cx="105743" cy="230711"/>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05743" cy="230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each account for 30% of the total heuristic adjustment.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chunks yielding the highest </w:t>
      </w:r>
      <w:r w:rsidDel="00000000" w:rsidR="00000000" w:rsidRPr="00000000">
        <w:rPr>
          <w:rFonts w:ascii="Google Sans" w:cs="Google Sans" w:eastAsia="Google Sans" w:hAnsi="Google Sans"/>
          <w:color w:val="1f1f1f"/>
        </w:rPr>
        <w:drawing>
          <wp:inline distB="19050" distT="19050" distL="19050" distR="19050">
            <wp:extent cx="430634" cy="229671"/>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30634" cy="2296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scores are subsequently isolated, concatenated, and injected into the language model's context window for final grading.</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Rigid JSON Schema Adherence in Probabilistic Models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highest-fidelity, heavily weighted documents are retrieved and injected into the context window, the language model is tasked with grading the text. The strict architectural requirement mandates that the LLM output a rigid JSON object containing two specific fields: a continuous 'Sentiment Score' and a three-sentence 'Explainable AI Thesis'. While seemingly straightforward, enforcing this structure is one of the most complex challenges in generative AI engineering.</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Fragility of Unstructured Generation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LLMs are inherently probabilistic text generators; they are optimized for conversational fluency and human readability, not database integration.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When tasked with outputting structured data formats like JSON using standard prompting techniques, they frequently encounter catastrophic failures in production environments. These failures generally manifest in two distinct ways. First, the model may periodically fail to produce a syntactically valid JSON object entirely, missing closing brackets or escaping characters incorrectly.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Second, and more dangerously, the model may generate a syntactically valid JSON object but fail to adhere to the requested data model, hallucinating new keys, violating specified data types, or ignoring enumerated constraints.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manifestation of this fragility occurs when the LLM attempts to be helpful by prepending the JSON output with conversational filler, such as, "Here is the analysis of the financial data in JSON format:".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unwanted text prefix instantly breaks downstream parsing logic.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developers often attempt to use regular expressions (regex) to strip away this filler or extract the sentiment score directly, regex is highly brittle. A minor change in the model's update weights or a slight shift in its phrasing will cause the regex parser to fail, misrouting critical financial data or entirely breaking the automated trading execution pipeline.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Unstructured text is designed for humans; production financial applications demand structured, predictable data.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API-Level Contracts and Validation Frameworks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guarantee operational stability, the architecture must abandon prompt-based suggestions for formatting and transition to API-level schema enforcement.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is achieved using the native Structured Outputs capabilities provided by advanced LLM providers.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By providing a strict JSON Schema definition within the API call, the system constraints the model's token generation at the inference level. The sampling process is mathematically restricted to only return tokens that validate against the defined Abstract Syntax Tree of the schema, ensuring that required properties and data types are strictly respected.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runtime, the output is further secured using robust validation libraries, such as Zod. Zod provides a durable layer of runtime type safety. If, despite API constraints, an edge-case generation attempts to output a string instead of a float for the Sentiment Score, the error is caught programmatically before it propagates to the trading database, allowing the system to trigger an automatic retry with an elevated temperature penalty.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for Schema Fidelity (ThinkJSON)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highly regulated financial and manufacturing environments, even standard API-level enforcement may struggle with deeply complex, nested schemas that require analytical reasoning. Cutting-edge frameworks address this challenge by applying reinforcement learning to explicitly train smaller, highly efficient models on schema adherence.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Techniques such as the "ThinkJSON" methodology leverage the DeepSeek R1 reinforcement learning framework to train the structured reasoning skills of the model.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approach utilizes a novel pipeline combining synthetic reasoning dataset construction with custom reward functions under Group Relative Policy Optimization (GRPO).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generating triplet data—consisting of filled JSON schemas, unstructured text describing the same content, and step-by-step reasoning on how to map the unstructured data to the structured format—the model is trained to logically deduce schema population.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GRPO pipeline applies custom rewards that directly evaluate JSON validity, structural faithfulness, and tag correctness.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Following reinforcement learning, the model undergoes supervised fine-tuning to align it to specific downstream financial tasks.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methodology forces the model to develop an internal "chain-of-thought," self-checking how each field is filled and minimizing random or malformed outputs.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result is a highly resource-efficient model capable of maintaining strict schema fidelity while simultaneously documenting the logic behind each structural decision—a vital requirement for regulated environments facing potential audit.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JSON Schema Definition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desired output must be rigorously defined in the system's payload. The schema restricts the Sentiment Score to a continuous numerical float, bounded mathematically between -1.0 and +1.0. It also bounds the Explainable AI Thesis to a specific string format. The JSON schema definition required to enforce this structure resembles the following configuration: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JSON Key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Data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 &amp;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Sentiment_Score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(Float)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financial sentiment score. Minimum value: -1.0. Maximum value: 1.0. Required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Explainable_AI_Thesis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rigid, three-sentence analytical thesis supporting the assigned score, heavily citing specific financial metrics. Required field.</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Setting the additionalProperties flag to false at the root of the schema is a critical architectural security measure. It acts as a hard barrier, physically preventing the LLM from appending unsolicited keys, hallucinated metrics, or conversational metadata into the final payload, ensuring the downstream trading algorithm receives exactly—and only—what it expects.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Hallucination Prevention and Strict Grounding Mechanisms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rigid schema adherence ensures the output is formatted correctly, it does not guarantee the factual accuracy of the text within that format. Hallucination represents an existential threat to any financial AI system.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an algorithmic trading pipeline, an LLM confidently fabricating a positive earnings metric, inventing a non-existent regulatory probe, or misinterpreting a balance sheet can lead to massive, instantaneous capital deployment errors.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Unchecked hallucinations fundamentally undermine the reliability and trustworthiness of the system, creating severe legal liabilities.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root cause of hallucination is the language model's inherent design: it generates text from learned statistical patterns rather than retrieving verified facts, allowing it to state falsehoods with absolute syntactic confidence.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RAG attempts to solve this by providing external knowledge, but if the LLM is not strictly grounded, it will interpolate its parametric memory with the provided context.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force the model to act purely as a deterministic grading engine rather than a creative generator, the pipeline must implement a multi-layered defense architecture, heavily inspired by advanced systems like FinGround and FinSight.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Finance-Aware Atomic Verification (The FinGround Taxonomy)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robust hallucination prevention strategy requires deconstructing the LLM's generated output into atomic, independently verifiable claims.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Standard hallucination detection frameworks decompose claims but treat all facts uniformly, which fails spectacularly in the financial domain. A statement like "gross margin was 62.4%" requires exact tabular cell alignment, not just broad semantic similarity.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Relying on general verification leaves a massive gap, accounting for 43% of computational errors that only a domain-specific pipeline can catch.</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must utilize a specialized, six-type financial taxonomy for atomic verification to ensure faithfulness to the original text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Numerical Verification:</w:t>
      </w:r>
      <w:r w:rsidDel="00000000" w:rsidR="00000000" w:rsidRPr="00000000">
        <w:rPr>
          <w:rFonts w:ascii="Google Sans" w:cs="Google Sans" w:eastAsia="Google Sans" w:hAnsi="Google Sans"/>
          <w:color w:val="1f1f1f"/>
          <w:rtl w:val="0"/>
        </w:rPr>
        <w:t xml:space="preserve"> Direct extraction and validation of specific values, units, entities, and time periods (e.g., verifying that the "$100M revenue" explicitly belongs to "Q3" and "Data Center").</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Temporal Verification:</w:t>
      </w:r>
      <w:r w:rsidDel="00000000" w:rsidR="00000000" w:rsidRPr="00000000">
        <w:rPr>
          <w:rFonts w:ascii="Google Sans" w:cs="Google Sans" w:eastAsia="Google Sans" w:hAnsi="Google Sans"/>
          <w:color w:val="1f1f1f"/>
          <w:rtl w:val="0"/>
        </w:rPr>
        <w:t xml:space="preserve"> Validating claims reliant on specific chronologies or deadlines (e.g., "prior to the SEC filing date").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Entity-Attribute Verification:</w:t>
      </w:r>
      <w:r w:rsidDel="00000000" w:rsidR="00000000" w:rsidRPr="00000000">
        <w:rPr>
          <w:rFonts w:ascii="Google Sans" w:cs="Google Sans" w:eastAsia="Google Sans" w:hAnsi="Google Sans"/>
          <w:color w:val="1f1f1f"/>
          <w:rtl w:val="0"/>
        </w:rPr>
        <w:t xml:space="preserve"> Confirming categorical facts regarding corporate structures, personnel changes, or subsidiary ownership.</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Comparative Verification:</w:t>
      </w:r>
      <w:r w:rsidDel="00000000" w:rsidR="00000000" w:rsidRPr="00000000">
        <w:rPr>
          <w:rFonts w:ascii="Google Sans" w:cs="Google Sans" w:eastAsia="Google Sans" w:hAnsi="Google Sans"/>
          <w:color w:val="1f1f1f"/>
          <w:rtl w:val="0"/>
        </w:rPr>
        <w:t xml:space="preserve"> Validating claims that establish a relationship between two entities or timeframes (e.g., confirming the statement "revenue was higher than the previous fiscal year" by checking both historical and current data).</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Regulatory Verification:</w:t>
      </w:r>
      <w:r w:rsidDel="00000000" w:rsidR="00000000" w:rsidRPr="00000000">
        <w:rPr>
          <w:rFonts w:ascii="Google Sans" w:cs="Google Sans" w:eastAsia="Google Sans" w:hAnsi="Google Sans"/>
          <w:color w:val="1f1f1f"/>
          <w:rtl w:val="0"/>
        </w:rPr>
        <w:t xml:space="preserve"> Grounding statements interpreting compliance rules, litigation exposure, or regulatory framework applicability against actual SEC text.</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Computational Verification:</w:t>
      </w:r>
      <w:r w:rsidDel="00000000" w:rsidR="00000000" w:rsidRPr="00000000">
        <w:rPr>
          <w:rFonts w:ascii="Google Sans" w:cs="Google Sans" w:eastAsia="Google Sans" w:hAnsi="Google Sans"/>
          <w:color w:val="1f1f1f"/>
          <w:rtl w:val="0"/>
        </w:rPr>
        <w:t xml:space="preserve"> The most critical vector for financial hallucinations. These are claims that require an implied mathematical formula or derivation not explicitly stated in the text.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LLM generates a computational claim, the verification pipeline must execute arithmetic re-computation against the retrieved evidence to ensure the derived metric is mathematically factual.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Claims that fail this atomic verification are rigorously categorized. To prevent models from flagging axiomatic financial truths as hallucinations simply because they are omitted from the immediate text, the system avoids binary True/False paradigms. Instead, it adopts a strict tripartite taxonomy: SUPPORTED (backed by text or valid computation), UNFOUNDED (contradicts evidence, uses ungrounded inputs, or commits logic errors), and GENERAL (axiomatic financial truths independent of the provided context).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Any output containing UNFOUNDED claims is immediately blocked and rewritten, achieving high faithfulness rates on regenerated claims.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 Layers of Operational Defense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operational generation layer, the system deploys five distinct, sequential defensive barriers to prevent hallucination from reaching the end user or trading execution system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Defense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Retrieval Grounding Insulation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LLM is strictly isolated from its internal training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Forces the model to synthesize answers derived solely from the specific contextual chunks injected during the current inference cycle, eliminating parametric contamination.</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The Strict System 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Explicitly forbids the fabrication of ticker symbols, entities, and figures.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Mandates that every factual claim must be accompanied by an inline citation mapping to a specific source document identifier.</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Deterministic Temperature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generation model's hyperparameter for randomness is pinned to </w:t>
            </w:r>
            <w:r w:rsidDel="00000000" w:rsidR="00000000" w:rsidRPr="00000000">
              <w:rPr>
                <w:rFonts w:ascii="Google Sans" w:cs="Google Sans" w:eastAsia="Google Sans" w:hAnsi="Google Sans"/>
                <w:color w:val="1f1f1f"/>
                <w:shd w:fill="auto" w:val="clear"/>
              </w:rPr>
              <w:drawing>
                <wp:inline distB="19050" distT="19050" distL="19050" distR="19050">
                  <wp:extent cx="206275" cy="187523"/>
                  <wp:effectExtent b="0" l="0" r="0" t="0"/>
                  <wp:docPr id="1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06275" cy="1875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Drastically suppresses the token probability distribution, eliminating creative sampling and forcing the selection of the most statistically rigid, fact-based tokens.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Post-Generation Citation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automated response parser scans the text for inline markers (e.g.,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Programmatically cross-references markers against actual retrieved chunk indices. If the LLM generates a "dangling citation" pointing to a misaligned table cell, the response is blocked.</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Confidence Scoring &amp; Uncertainty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Evaluates the density of supporting evidence prior to grading.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If documents lack cohesive data, the LLM must explicitly declare "insufficient data" rather than guessing, logging a Low Confidence score and neutralizing the trading signal.</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implementing this exhaustive defensive architecture, the operational paradigm shifts. The system is no longer asking the model to "recall an answer from memory." It is explicitly instructing the model to "grade the specific facts provided in the context," dramatically reducing the hallucination surface area.</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Computing Continuous Financial Sentiment Scores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financial sentiment analysis relied almost entirely on lexicon-based approaches, most notably the Loughran-McDonald (LM) dictionary established in 2011.</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LM dictionary operates by mapping specific terms to polarity scores, purposefully accounting for domain-specific jargon where a word like "liability" or "tax" is statistically neutral in an accounting context, rather than inherently negative as it might be in general English.</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For years, systematic equity funds processed 10-K filings through daily pipelines utilizing the LM dictionary, normalizing positive and negative word counts to compare tone changes against industry peer groups.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dictionary and lexicon approaches are fundamentally limited by their rigidity. They fail to capture complex linguistic patterns, nuanced semantics, and the pragmatic context of modern financial discourse.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They cannot differentiate between a statistically negative isolated word and a pragmatically irrelevant contextual usage.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For instance, a sentence reading, "The company successfully avoided the massive losses experienced by competitors," contains multiple negative lexicon words ("avoided", "massive", "losses") but conveys a highly positive financial reality. Lexicon models frequently misinterpret these structures, resulting in high false-positive rates and degraded trading signals.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architectural standard leverages Transformer-based Large Language Models to compute a continuous, highly contextual sentiment score.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Empirical data consistently demonstrates that appropriately prompted, general-purpose LLMs can significantly outperform traditional sentiment analysis methods—including the Loughran-McDonald dictionary and even early domain-specific models like FinBERT—in predicting and explaining subsequent stock returns.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Research indicates that self-financing trading strategies based on LLM-derived sentiment scores achieve substantially higher Sharpe ratios compared to strategies reliant on legacy dictionary models, highlighting their superior performance in dynamic financial environments.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extract this advanced signal, the system utilizes a strict zero-shot prompting strategy aimed at extracting a continuous numerical value, denoted as </w:t>
      </w:r>
      <w:r w:rsidDel="00000000" w:rsidR="00000000" w:rsidRPr="00000000">
        <w:rPr>
          <w:rFonts w:ascii="Google Sans" w:cs="Google Sans" w:eastAsia="Google Sans" w:hAnsi="Google Sans"/>
          <w:color w:val="1f1f1f"/>
        </w:rPr>
        <w:drawing>
          <wp:inline distB="19050" distT="19050" distL="19050" distR="19050">
            <wp:extent cx="1435598" cy="228175"/>
            <wp:effectExtent b="0" l="0" r="0" t="0"/>
            <wp:docPr id="1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435598" cy="228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granular scoring mechanism allows the trading logic to interpret the exact magnitude of the sentiment shift. Rather than relying on binary positive/negative classifications, the algorithm can measure a nuanced shift from a slightly bearish -0.2 to a strongly bullish +0.8 following the release of an SEC 8-K.</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prompt enforces this mathematical boundary strictly, ensuring the model scales the severity of the language accurately against the predefined limits, translating qualitative regulatory text into quantitative trading velocity.</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Master System Prompt Design and Execution Logic</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linchpin of the entire financial RAG pipeline is the master system prompt. It serves as the ultimate governance layer, uniting the context-aware retrieval constraints, the rigid schema enforcement, and the hallucination prevention rules into a single executable command set.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production-grade prompt for this specific architecture must be exhaustively detailed. It must explicitly set non-negotiable boundaries, define the nature of the inputted data, and detail the exact formatting requirements.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it must include explicit uncertainty instructions, forcing the model to admit ignorance through predefined fallback phrases rather than attempting to fabricate a cohesive response from incomplete data.</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definitive Master System Prompt designed to execute the exact requirements of this pipeline, ensuring the highest fidelity grading of unstructured text:</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Definitive System Prompt</w:t>
      </w:r>
    </w:p>
    <w:p w:rsidR="00000000" w:rsidDel="00000000" w:rsidP="00000000" w:rsidRDefault="00000000" w:rsidRPr="00000000" w14:paraId="0000007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AND SYSTEM DIRECTIVE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an expert quantitative AI Systems Architect and Financial Analyst. Your sole function is to act as a deterministic grading engine for unstructured financial text. You do not generate creative content, you do not speculate, and you are strictly forbidden from accessing any external knowledge or pre-trained parametric memory.</w:t>
      </w:r>
    </w:p>
    <w:p w:rsidR="00000000" w:rsidDel="00000000" w:rsidP="00000000" w:rsidRDefault="00000000" w:rsidRPr="00000000" w14:paraId="00000080">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DATA CONTEXT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will be provided with a set of retrieved, context-aware document chunks. These chunks are sourced from highly regulated SEC 10-K filings, SEC 13F institutional holdings reports, and global financial news.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chunk is tagged with a specific source identifier (e.g.,,).</w:t>
      </w:r>
    </w:p>
    <w:p w:rsidR="00000000" w:rsidDel="00000000" w:rsidP="00000000" w:rsidRDefault="00000000" w:rsidRPr="00000000" w14:paraId="0000008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REQUIREMENTS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must analyze the provided documents and output a rigid, syntactically perfect JSON object. The JSON object must contain exactly two keys, and absolutely no other text, conversational filler, or markdown formatting outside the JSON block.</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"Sentiment_Score":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"Explainable_AI_Thesis":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SCORING AND GRADING LOGIC</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"Sentiment_Score": Calculate a continuous financial sentiment score between -1.0 (extreme negative/bearish) and +1.0 (extreme positive/bullish). Neutral sentiment is exactly 0.0. Base this score strictly on the financial implications of the provided text.</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Source Weighting Rule: If the provided documents contain conflicting information, you MUST prioritize facts found in SEC filings (10-K, 13F) over facts found in general news or social media sources. Regulatory filings represent the ground truth.</w:t>
      </w:r>
    </w:p>
    <w:p w:rsidR="00000000" w:rsidDel="00000000" w:rsidP="00000000" w:rsidRDefault="00000000" w:rsidRPr="00000000" w14:paraId="0000008C">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THESIS CONSTRAINTS (ANTI-HALLUCINATION GUARDRAILS)</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"Explainable_AI_Thesis": You must provide an analytical thesis justifying your Sentiment Score.</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Length Constraint: The thesis MUST be exactly three sentences long. Not two, not four. Exactly three.</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Strict Grounding: Every single factual claim, numerical figure, entity name, or temporal reference in your thesis MUST be directly sourced from the provided text.</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Citation Requirement: You must append the relevant source identifier inline at the end of any sentence containing a specific fact or metric (e.g., "Data Center revenue increased by 14%.").</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Prohibition on Fabrication: NEVER invent ticker symbols, company names, or financial figures. Do not perform undocumented mathematical computations.</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Insufficient Data Protocol: If the provided source documents do not contain enough cohesive financial data to determine a sentiment score, you must set the "Sentiment_Score" to 0.0 and state exactly the following for your thesis: "Insufficient verified data provided in context to formulate a financial thesis. No analytical deductions can be made. Awaiting further regulatory or market documentation."</w:t>
      </w:r>
    </w:p>
    <w:p w:rsidR="00000000" w:rsidDel="00000000" w:rsidP="00000000" w:rsidRDefault="00000000" w:rsidRPr="00000000" w14:paraId="00000093">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Adhere strictly to the JSON schema. Analyze the following context and generate the output.</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Prompt Mechanics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prompt is meticulously engineered to address every systemic vulnerability inherent in financial LLMs. The "Role and Directive" clause instantly strips the model of its conversational persona, establishing it exclusively as a deterministic engine.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While the retrieval pipeline mathematically weights SEC documents higher before they reach the LLM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prompt provides a critical secondary semantic instruction. If a highly weighted SEC document contradicts a lower-weighted news article that managed to enter the context window, the model is explicitly instructed on how to resolve the conflict logically, favoring the regulatory text.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"Length Constraint" serves as a secondary structural check. By forcing the LLM to output exactly three sentences, the prompt prevents the model from generating long, rambling analyses that often veer into hallucinated territory the longer token generation continues. Furthermore, mandating the citation format directly enables the downstream response parser to execute the post-generation citation validation. If the LLM claims a revenue figure and cites, the system programmatically checks chunk 3 to verify the metric's existence, blocking the output if it is a hallucinated "dangling citation".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Finally, by providing a hardcoded escape phrase in the "Insufficient Data Protocol," the system neutralizes the LLM's inherent bias to always provide a helpful answer, effectively solving the most common cause of context-absent hallucination.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a Retrieval-Augmented Generation pipeline for quantitative financial analysis is an exercise in extreme, multi-layered constraint management. The ingestion of SEC 10-K filings, 13F tabular data, and high-frequency news cannot rely on uniform processing algorithms; it demands layout-aware chunking, entity-based metadata tagging, and a retrieval mechanism that mathematically subordinates journalistic noise to audited regulatory filings through strict authority and recency multipliers.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replacing legacy dictionary-based sentiment tools with LLM-driven continuous scoring, the architecture captures superior market signals capable of driving advanced algorithmic trading strategies. However, these capabilities are only viable in a production environment when the generative output is ruthlessly governed. Through the integration of API-level schema enforcement, reinforcement learning methodologies for structural adherence, the rigorous atomic verification taxonomy, and a meticulously engineered master system prompt, the architecture successfully coerces probabilistic language models into deterministic, highly reliable grading engines. This synthesis of strict data engineering and advanced prompt architecture ensures that the resulting JSON payloads are structurally flawless, mathematically sound, and entirely insulated from the severe operational risks of artificial hallucination.</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Hallucination Prevention and How RAG Helps - You.com, accessed May 18, 2026, </w:t>
      </w:r>
      <w:hyperlink r:id="rId23">
        <w:r w:rsidDel="00000000" w:rsidR="00000000" w:rsidRPr="00000000">
          <w:rPr>
            <w:rFonts w:ascii="Google Sans" w:cs="Google Sans" w:eastAsia="Google Sans" w:hAnsi="Google Sans"/>
            <w:color w:val="0000ee"/>
            <w:sz w:val="24"/>
            <w:szCs w:val="24"/>
            <w:u w:val="single"/>
            <w:rtl w:val="0"/>
          </w:rPr>
          <w:t xml:space="preserve">https://you.com/resources/ai-hallucination-prevention-guide</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hallucinations in large language models with custom intervention using Amazon Bedrock Agents | Artificial Intelligence - AWS, accessed May 18, 2026, </w:t>
      </w:r>
      <w:hyperlink r:id="rId24">
        <w:r w:rsidDel="00000000" w:rsidR="00000000" w:rsidRPr="00000000">
          <w:rPr>
            <w:rFonts w:ascii="Google Sans" w:cs="Google Sans" w:eastAsia="Google Sans" w:hAnsi="Google Sans"/>
            <w:color w:val="0000ee"/>
            <w:sz w:val="24"/>
            <w:szCs w:val="24"/>
            <w:u w:val="single"/>
            <w:rtl w:val="0"/>
          </w:rPr>
          <w:t xml:space="preserve">https://aws.amazon.com/blogs/machine-learning/reducing-hallucinations-in-large-language-models-with-custom-intervention-using-amazon-bedrock-agents/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Retrieval-augmented generation - Wikipedia, accessed May 18, 2026, </w:t>
      </w:r>
      <w:hyperlink r:id="rId25">
        <w:r w:rsidDel="00000000" w:rsidR="00000000" w:rsidRPr="00000000">
          <w:rPr>
            <w:rFonts w:ascii="Google Sans" w:cs="Google Sans" w:eastAsia="Google Sans" w:hAnsi="Google Sans"/>
            <w:color w:val="0000ee"/>
            <w:sz w:val="24"/>
            <w:szCs w:val="24"/>
            <w:u w:val="single"/>
            <w:rtl w:val="0"/>
          </w:rPr>
          <w:t xml:space="preserve">https://en.wikipedia.org/wiki/Retrieval-augmented_generation</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 Augmented Generation (RAG) for LLMs - Prompt Engineering Guide, accessed May 18, 2026, </w:t>
      </w:r>
      <w:hyperlink r:id="rId26">
        <w:r w:rsidDel="00000000" w:rsidR="00000000" w:rsidRPr="00000000">
          <w:rPr>
            <w:rFonts w:ascii="Google Sans" w:cs="Google Sans" w:eastAsia="Google Sans" w:hAnsi="Google Sans"/>
            <w:color w:val="0000ee"/>
            <w:sz w:val="24"/>
            <w:szCs w:val="24"/>
            <w:u w:val="single"/>
            <w:rtl w:val="0"/>
          </w:rPr>
          <w:t xml:space="preserve">https://www.promptingguide.ai/research/rag</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Hallucinations: Detection, Prevention, and Mitigation - Tetrate, accessed May 18, 2026, </w:t>
      </w:r>
      <w:hyperlink r:id="rId27">
        <w:r w:rsidDel="00000000" w:rsidR="00000000" w:rsidRPr="00000000">
          <w:rPr>
            <w:rFonts w:ascii="Google Sans" w:cs="Google Sans" w:eastAsia="Google Sans" w:hAnsi="Google Sans"/>
            <w:color w:val="0000ee"/>
            <w:sz w:val="24"/>
            <w:szCs w:val="24"/>
            <w:u w:val="single"/>
            <w:rtl w:val="0"/>
          </w:rPr>
          <w:t xml:space="preserve">https://tetrate.io/learn/ai/llm-hallucination-prevention</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Section 13F Securities - SEC.gov, accessed May 18, 2026, </w:t>
      </w:r>
      <w:hyperlink r:id="rId28">
        <w:r w:rsidDel="00000000" w:rsidR="00000000" w:rsidRPr="00000000">
          <w:rPr>
            <w:rFonts w:ascii="Google Sans" w:cs="Google Sans" w:eastAsia="Google Sans" w:hAnsi="Google Sans"/>
            <w:color w:val="0000ee"/>
            <w:sz w:val="24"/>
            <w:szCs w:val="24"/>
            <w:u w:val="single"/>
            <w:rtl w:val="0"/>
          </w:rPr>
          <w:t xml:space="preserve">https://www.sec.gov/divisions/investment/13f-list.pdf</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Language Model Evaluation (FLaME) - arXiv, accessed May 18, 2026, </w:t>
      </w:r>
      <w:hyperlink r:id="rId29">
        <w:r w:rsidDel="00000000" w:rsidR="00000000" w:rsidRPr="00000000">
          <w:rPr>
            <w:rFonts w:ascii="Google Sans" w:cs="Google Sans" w:eastAsia="Google Sans" w:hAnsi="Google Sans"/>
            <w:color w:val="0000ee"/>
            <w:sz w:val="24"/>
            <w:szCs w:val="24"/>
            <w:u w:val="single"/>
            <w:rtl w:val="0"/>
          </w:rPr>
          <w:t xml:space="preserve">https://arxiv.org/html/2506.15846v1</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SEC Filings in Python (2026) - EdgarTools, accessed May 18, 2026, </w:t>
      </w:r>
      <w:hyperlink r:id="rId30">
        <w:r w:rsidDel="00000000" w:rsidR="00000000" w:rsidRPr="00000000">
          <w:rPr>
            <w:rFonts w:ascii="Google Sans" w:cs="Google Sans" w:eastAsia="Google Sans" w:hAnsi="Google Sans"/>
            <w:color w:val="0000ee"/>
            <w:sz w:val="24"/>
            <w:szCs w:val="24"/>
            <w:u w:val="single"/>
            <w:rtl w:val="0"/>
          </w:rPr>
          <w:t xml:space="preserve">https://edgartools.readthedocs.io/en/latest/complete-guide/</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Going Beyond Vanilla RAG: Overcoming Challenges with Weighted ..., accessed May 18, 2026, </w:t>
      </w:r>
      <w:hyperlink r:id="rId31">
        <w:r w:rsidDel="00000000" w:rsidR="00000000" w:rsidRPr="00000000">
          <w:rPr>
            <w:rFonts w:ascii="Google Sans" w:cs="Google Sans" w:eastAsia="Google Sans" w:hAnsi="Google Sans"/>
            <w:color w:val="0000ee"/>
            <w:sz w:val="24"/>
            <w:szCs w:val="24"/>
            <w:u w:val="single"/>
            <w:rtl w:val="0"/>
          </w:rPr>
          <w:t xml:space="preserve">https://thegrigorian.medium.com/going-beyond-vanilla-rag-overcoming-challenges-with-weighted-retrieval-e0281dc4768c</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Enforcing JSON outputs in commercial LLMs - Towards Data Science, accessed May 18, 2026, </w:t>
      </w:r>
      <w:hyperlink r:id="rId32">
        <w:r w:rsidDel="00000000" w:rsidR="00000000" w:rsidRPr="00000000">
          <w:rPr>
            <w:rFonts w:ascii="Google Sans" w:cs="Google Sans" w:eastAsia="Google Sans" w:hAnsi="Google Sans"/>
            <w:color w:val="0000ee"/>
            <w:sz w:val="24"/>
            <w:szCs w:val="24"/>
            <w:u w:val="single"/>
            <w:rtl w:val="0"/>
          </w:rPr>
          <w:t xml:space="preserve">https://towardsdatascience.com/enforcing-json-outputs-in-commercial-llms-3db590b9b3c8/</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Flat Chunks - Landing AI, accessed May 18, 2026, </w:t>
      </w:r>
      <w:hyperlink r:id="rId33">
        <w:r w:rsidDel="00000000" w:rsidR="00000000" w:rsidRPr="00000000">
          <w:rPr>
            <w:rFonts w:ascii="Google Sans" w:cs="Google Sans" w:eastAsia="Google Sans" w:hAnsi="Google Sans"/>
            <w:color w:val="0000ee"/>
            <w:sz w:val="24"/>
            <w:szCs w:val="24"/>
            <w:u w:val="single"/>
            <w:rtl w:val="0"/>
          </w:rPr>
          <w:t xml:space="preserve">https://landing.ai/blog/beyond-flat-chunks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Performance Starts with Preprocessing, Not Retrieval | by June Shin - Medium, accessed May 18, 2026, </w:t>
      </w:r>
      <w:hyperlink r:id="rId34">
        <w:r w:rsidDel="00000000" w:rsidR="00000000" w:rsidRPr="00000000">
          <w:rPr>
            <w:rFonts w:ascii="Google Sans" w:cs="Google Sans" w:eastAsia="Google Sans" w:hAnsi="Google Sans"/>
            <w:color w:val="0000ee"/>
            <w:sz w:val="24"/>
            <w:szCs w:val="24"/>
            <w:u w:val="single"/>
            <w:rtl w:val="0"/>
          </w:rPr>
          <w:t xml:space="preserve">https://medium.com/@june.shin/rag-performance-starts-with-preprocessing-not-retrieval-56772945d32e</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Architecture · Knowledge Graphs · RAG | by Shayat | Mar, 2026 | Medium, accessed May 18, 2026, </w:t>
      </w:r>
      <w:hyperlink r:id="rId35">
        <w:r w:rsidDel="00000000" w:rsidR="00000000" w:rsidRPr="00000000">
          <w:rPr>
            <w:rFonts w:ascii="Google Sans" w:cs="Google Sans" w:eastAsia="Google Sans" w:hAnsi="Google Sans"/>
            <w:color w:val="0000ee"/>
            <w:sz w:val="24"/>
            <w:szCs w:val="24"/>
            <w:u w:val="single"/>
            <w:rtl w:val="0"/>
          </w:rPr>
          <w:t xml:space="preserve">https://medium.com/@shayat10943/ai-architecture-knowledge-graphs-rag-18c945266b3a</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Long-Context Isn't All You Need: How Retrieval &amp; Chunking Impact Finance RAG, accessed May 18, 2026, </w:t>
      </w:r>
      <w:hyperlink r:id="rId36">
        <w:r w:rsidDel="00000000" w:rsidR="00000000" w:rsidRPr="00000000">
          <w:rPr>
            <w:rFonts w:ascii="Google Sans" w:cs="Google Sans" w:eastAsia="Google Sans" w:hAnsi="Google Sans"/>
            <w:color w:val="0000ee"/>
            <w:sz w:val="24"/>
            <w:szCs w:val="24"/>
            <w:u w:val="single"/>
            <w:rtl w:val="0"/>
          </w:rPr>
          <w:t xml:space="preserve">https://www.snowflake.com/en/blog/engineering/impact-retrieval-chunking-finance-rag/</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chunking strategy for RAG on annual/financial reports? - Reddit, accessed May 18, 2026, </w:t>
      </w:r>
      <w:hyperlink r:id="rId37">
        <w:r w:rsidDel="00000000" w:rsidR="00000000" w:rsidRPr="00000000">
          <w:rPr>
            <w:rFonts w:ascii="Google Sans" w:cs="Google Sans" w:eastAsia="Google Sans" w:hAnsi="Google Sans"/>
            <w:color w:val="0000ee"/>
            <w:sz w:val="24"/>
            <w:szCs w:val="24"/>
            <w:u w:val="single"/>
            <w:rtl w:val="0"/>
          </w:rPr>
          <w:t xml:space="preserve">https://www.reddit.com/r/Rag/comments/1mjwde9/best_chunking_strategy_for_rag_on_annualfinancial/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EDGAR Filings API - Apify, accessed May 18, 2026, </w:t>
      </w:r>
      <w:hyperlink r:id="rId38">
        <w:r w:rsidDel="00000000" w:rsidR="00000000" w:rsidRPr="00000000">
          <w:rPr>
            <w:rFonts w:ascii="Google Sans" w:cs="Google Sans" w:eastAsia="Google Sans" w:hAnsi="Google Sans"/>
            <w:color w:val="0000ee"/>
            <w:sz w:val="24"/>
            <w:szCs w:val="24"/>
            <w:u w:val="single"/>
            <w:rtl w:val="0"/>
          </w:rPr>
          <w:t xml:space="preserve">https://apify.com/oakridge_tech/sec-edgar-filings-api</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FinGround: Detecting and Grounding Financial Hallucinations via Atomic Claim Verification, accessed May 18, 2026, </w:t>
      </w:r>
      <w:hyperlink r:id="rId39">
        <w:r w:rsidDel="00000000" w:rsidR="00000000" w:rsidRPr="00000000">
          <w:rPr>
            <w:rFonts w:ascii="Google Sans" w:cs="Google Sans" w:eastAsia="Google Sans" w:hAnsi="Google Sans"/>
            <w:color w:val="0000ee"/>
            <w:sz w:val="24"/>
            <w:szCs w:val="24"/>
            <w:u w:val="single"/>
            <w:rtl w:val="0"/>
          </w:rPr>
          <w:t xml:space="preserve">https://arxiv.org/html/2604.23588v1</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Review of Federal Securities Regulation - Mayer Brown, accessed May 18, 2026, </w:t>
      </w:r>
      <w:hyperlink r:id="rId40">
        <w:r w:rsidDel="00000000" w:rsidR="00000000" w:rsidRPr="00000000">
          <w:rPr>
            <w:rFonts w:ascii="Google Sans" w:cs="Google Sans" w:eastAsia="Google Sans" w:hAnsi="Google Sans"/>
            <w:color w:val="0000ee"/>
            <w:sz w:val="24"/>
            <w:szCs w:val="24"/>
            <w:u w:val="single"/>
            <w:rtl w:val="0"/>
          </w:rPr>
          <w:t xml:space="preserve">https://www.mayerbrown.com/-/media/files/perspectives-events/publications/2023/08/tbl-783-final-files-to-abafull-survey-section-fed-regulations-of-securitiestbl-783-full-sectionfederal-regulation-of-securities.pdf?rev=-1</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Attentive Graph Networks for Financial Surveillance: An Incremental Multi-Scale Framework - MDPI, accessed May 18, 2026, </w:t>
      </w:r>
      <w:hyperlink r:id="rId41">
        <w:r w:rsidDel="00000000" w:rsidR="00000000" w:rsidRPr="00000000">
          <w:rPr>
            <w:rFonts w:ascii="Google Sans" w:cs="Google Sans" w:eastAsia="Google Sans" w:hAnsi="Google Sans"/>
            <w:color w:val="0000ee"/>
            <w:sz w:val="24"/>
            <w:szCs w:val="24"/>
            <w:u w:val="single"/>
            <w:rtl w:val="0"/>
          </w:rPr>
          <w:t xml:space="preserve">https://www.mdpi.com/2224-2708/15/1/23</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MLQ Academy — Build Skills in AI, Data, and Finance, accessed May 18, 2026, </w:t>
      </w:r>
      <w:hyperlink r:id="rId42">
        <w:r w:rsidDel="00000000" w:rsidR="00000000" w:rsidRPr="00000000">
          <w:rPr>
            <w:rFonts w:ascii="Google Sans" w:cs="Google Sans" w:eastAsia="Google Sans" w:hAnsi="Google Sans"/>
            <w:color w:val="0000ee"/>
            <w:sz w:val="24"/>
            <w:szCs w:val="24"/>
            <w:u w:val="single"/>
            <w:rtl w:val="0"/>
          </w:rPr>
          <w:t xml:space="preserve">https://mlq.ai/academy/</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FISHNET: Financial Intelligence from Sub-querying, Harmonizing, Neural-Conditioning, Expert Swarms, and Task Planning - arXiv, accessed May 18, 2026, </w:t>
      </w:r>
      <w:hyperlink r:id="rId43">
        <w:r w:rsidDel="00000000" w:rsidR="00000000" w:rsidRPr="00000000">
          <w:rPr>
            <w:rFonts w:ascii="Google Sans" w:cs="Google Sans" w:eastAsia="Google Sans" w:hAnsi="Google Sans"/>
            <w:color w:val="0000ee"/>
            <w:sz w:val="24"/>
            <w:szCs w:val="24"/>
            <w:u w:val="single"/>
            <w:rtl w:val="0"/>
          </w:rPr>
          <w:t xml:space="preserve">https://arxiv.org/pdf/2410.19727?</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the Best Chunking Strategy for Accurate AI Responses | NVIDIA Technical Blog, accessed May 18, 2026, </w:t>
      </w:r>
      <w:hyperlink r:id="rId44">
        <w:r w:rsidDel="00000000" w:rsidR="00000000" w:rsidRPr="00000000">
          <w:rPr>
            <w:rFonts w:ascii="Google Sans" w:cs="Google Sans" w:eastAsia="Google Sans" w:hAnsi="Google Sans"/>
            <w:color w:val="0000ee"/>
            <w:sz w:val="24"/>
            <w:szCs w:val="24"/>
            <w:u w:val="single"/>
            <w:rtl w:val="0"/>
          </w:rPr>
          <w:t xml:space="preserve">https://developer.nvidia.com/blog/finding-the-best-chunking-strategy-for-accurate-ai-responses/</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FISHNET: Financial Intelligence from Sub-querying, Harmonizing, Neural-Conditioning, Expert Swarms, and Task Planning - arXiv, accessed May 18, 2026, </w:t>
      </w:r>
      <w:hyperlink r:id="rId45">
        <w:r w:rsidDel="00000000" w:rsidR="00000000" w:rsidRPr="00000000">
          <w:rPr>
            <w:rFonts w:ascii="Google Sans" w:cs="Google Sans" w:eastAsia="Google Sans" w:hAnsi="Google Sans"/>
            <w:color w:val="0000ee"/>
            <w:sz w:val="24"/>
            <w:szCs w:val="24"/>
            <w:u w:val="single"/>
            <w:rtl w:val="0"/>
          </w:rPr>
          <w:t xml:space="preserve">https://arxiv.org/html/2410.19727v1</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Based Trading strategy - stupid idea? : r/algotrading - Reddit, accessed May 18, 2026, </w:t>
      </w:r>
      <w:hyperlink r:id="rId46">
        <w:r w:rsidDel="00000000" w:rsidR="00000000" w:rsidRPr="00000000">
          <w:rPr>
            <w:rFonts w:ascii="Google Sans" w:cs="Google Sans" w:eastAsia="Google Sans" w:hAnsi="Google Sans"/>
            <w:color w:val="0000ee"/>
            <w:sz w:val="24"/>
            <w:szCs w:val="24"/>
            <w:u w:val="single"/>
            <w:rtl w:val="0"/>
          </w:rPr>
          <w:t xml:space="preserve">https://www.reddit.com/r/algotrading/comments/1jvftsj/sentiment_based_trading_strategy_stupid_idea/</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Language Model Evaluation (FLAME) - ACL Anthology, accessed May 18, 2026, </w:t>
      </w:r>
      <w:hyperlink r:id="rId47">
        <w:r w:rsidDel="00000000" w:rsidR="00000000" w:rsidRPr="00000000">
          <w:rPr>
            <w:rFonts w:ascii="Google Sans" w:cs="Google Sans" w:eastAsia="Google Sans" w:hAnsi="Google Sans"/>
            <w:color w:val="0000ee"/>
            <w:sz w:val="24"/>
            <w:szCs w:val="24"/>
            <w:u w:val="single"/>
            <w:rtl w:val="0"/>
          </w:rPr>
          <w:t xml:space="preserve">https://aclanthology.org/2025.findings-acl.1164.pdf</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Investment Research APIs for AI-First Use Cases in 2026 - Firecrawl, accessed May 18, 2026, </w:t>
      </w:r>
      <w:hyperlink r:id="rId48">
        <w:r w:rsidDel="00000000" w:rsidR="00000000" w:rsidRPr="00000000">
          <w:rPr>
            <w:rFonts w:ascii="Google Sans" w:cs="Google Sans" w:eastAsia="Google Sans" w:hAnsi="Google Sans"/>
            <w:color w:val="0000ee"/>
            <w:sz w:val="24"/>
            <w:szCs w:val="24"/>
            <w:u w:val="single"/>
            <w:rtl w:val="0"/>
          </w:rPr>
          <w:t xml:space="preserve">https://www.firecrawl.dev/blog/best-investment-research-apis</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FinSight: A ProductionGrade Financial Research Assistant ..., accessed May 18, 2026, </w:t>
      </w:r>
      <w:hyperlink r:id="rId49">
        <w:r w:rsidDel="00000000" w:rsidR="00000000" w:rsidRPr="00000000">
          <w:rPr>
            <w:rFonts w:ascii="Google Sans" w:cs="Google Sans" w:eastAsia="Google Sans" w:hAnsi="Google Sans"/>
            <w:color w:val="0000ee"/>
            <w:sz w:val="24"/>
            <w:szCs w:val="24"/>
            <w:u w:val="single"/>
            <w:rtl w:val="0"/>
          </w:rPr>
          <w:t xml:space="preserve">https://medium.com/@rishantwork/building-finsight-a-production-grade-financial-research-assistant-powered-by-rag-0e3bb1fbeeef</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Basic RAG: Retrieval Weighting | by Rodrigo Nader ..., accessed May 18, 2026, </w:t>
      </w:r>
      <w:hyperlink r:id="rId50">
        <w:r w:rsidDel="00000000" w:rsidR="00000000" w:rsidRPr="00000000">
          <w:rPr>
            <w:rFonts w:ascii="Google Sans" w:cs="Google Sans" w:eastAsia="Google Sans" w:hAnsi="Google Sans"/>
            <w:color w:val="0000ee"/>
            <w:sz w:val="24"/>
            <w:szCs w:val="24"/>
            <w:u w:val="single"/>
            <w:rtl w:val="0"/>
          </w:rPr>
          <w:t xml:space="preserve">https://medium.com/logspace/beyond-basic-rag-retrieval-weighting-86deb741f5cc</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Parsing LLMs with Regex: Build Production-Ready AI Features with Schema-Enforced Outputs - DEV Community, accessed May 18, 2026, </w:t>
      </w:r>
      <w:hyperlink r:id="rId51">
        <w:r w:rsidDel="00000000" w:rsidR="00000000" w:rsidRPr="00000000">
          <w:rPr>
            <w:rFonts w:ascii="Google Sans" w:cs="Google Sans" w:eastAsia="Google Sans" w:hAnsi="Google Sans"/>
            <w:color w:val="0000ee"/>
            <w:sz w:val="24"/>
            <w:szCs w:val="24"/>
            <w:u w:val="single"/>
            <w:rtl w:val="0"/>
          </w:rPr>
          <w:t xml:space="preserve">https://dev.to/dthompsondev/llm-structured-json-building-production-ready-ai-features-with-schema-enforced-outputs-4j2j</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Structuring LLM Responses with JSON Schemas | nuric Blog, accessed May 18, 2026, </w:t>
      </w:r>
      <w:hyperlink r:id="rId52">
        <w:r w:rsidDel="00000000" w:rsidR="00000000" w:rsidRPr="00000000">
          <w:rPr>
            <w:rFonts w:ascii="Google Sans" w:cs="Google Sans" w:eastAsia="Google Sans" w:hAnsi="Google Sans"/>
            <w:color w:val="0000ee"/>
            <w:sz w:val="24"/>
            <w:szCs w:val="24"/>
            <w:u w:val="single"/>
            <w:rtl w:val="0"/>
          </w:rPr>
          <w:t xml:space="preserve">https://www.doc.ic.ac.uk/~nuric/posts/coding/structuring-llm-responses-with-json-schema/</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Think Inside the JSON: Reinforcement Strategy for Strict LLM Schema Adherence - arXiv, accessed May 18, 2026, </w:t>
      </w:r>
      <w:hyperlink r:id="rId53">
        <w:r w:rsidDel="00000000" w:rsidR="00000000" w:rsidRPr="00000000">
          <w:rPr>
            <w:rFonts w:ascii="Google Sans" w:cs="Google Sans" w:eastAsia="Google Sans" w:hAnsi="Google Sans"/>
            <w:color w:val="0000ee"/>
            <w:sz w:val="24"/>
            <w:szCs w:val="24"/>
            <w:u w:val="single"/>
            <w:rtl w:val="0"/>
          </w:rPr>
          <w:t xml:space="preserve">https://arxiv.org/html/2502.14905v1</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Think Inside the JSON: Reinforcement Strategy for Strict LLM Schema Adherence - arXiv, accessed May 18, 2026, </w:t>
      </w:r>
      <w:hyperlink r:id="rId54">
        <w:r w:rsidDel="00000000" w:rsidR="00000000" w:rsidRPr="00000000">
          <w:rPr>
            <w:rFonts w:ascii="Google Sans" w:cs="Google Sans" w:eastAsia="Google Sans" w:hAnsi="Google Sans"/>
            <w:color w:val="0000ee"/>
            <w:sz w:val="24"/>
            <w:szCs w:val="24"/>
            <w:u w:val="single"/>
            <w:rtl w:val="0"/>
          </w:rPr>
          <w:t xml:space="preserve">https://arxiv.org/abs/2502.14905</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Think Inside the JSON: A Reinforcement Strategy for Strict LLM Schema Adherence, accessed May 18, 2026, </w:t>
      </w:r>
      <w:hyperlink r:id="rId55">
        <w:r w:rsidDel="00000000" w:rsidR="00000000" w:rsidRPr="00000000">
          <w:rPr>
            <w:rFonts w:ascii="Google Sans" w:cs="Google Sans" w:eastAsia="Google Sans" w:hAnsi="Google Sans"/>
            <w:color w:val="0000ee"/>
            <w:sz w:val="24"/>
            <w:szCs w:val="24"/>
            <w:u w:val="single"/>
            <w:rtl w:val="0"/>
          </w:rPr>
          <w:t xml:space="preserve">https://www.mastercontrol.com/gxp-lifeline/thinkjson-ai-solution-for-life-science-manufacturing/</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Think Inside the JSON: Reinforcement Strategy for Strict LLM Schema Adherence, accessed May 18, 2026, </w:t>
      </w:r>
      <w:hyperlink r:id="rId56">
        <w:r w:rsidDel="00000000" w:rsidR="00000000" w:rsidRPr="00000000">
          <w:rPr>
            <w:rFonts w:ascii="Google Sans" w:cs="Google Sans" w:eastAsia="Google Sans" w:hAnsi="Google Sans"/>
            <w:color w:val="0000ee"/>
            <w:sz w:val="24"/>
            <w:szCs w:val="24"/>
            <w:u w:val="single"/>
            <w:rtl w:val="0"/>
          </w:rPr>
          <w:t xml:space="preserve">https://www.preprints.org/manuscript/202502.1390/v1</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Controlling LLM Hallucinations at the Application Level - Parasoft, accessed May 18, 2026, </w:t>
      </w:r>
      <w:hyperlink r:id="rId57">
        <w:r w:rsidDel="00000000" w:rsidR="00000000" w:rsidRPr="00000000">
          <w:rPr>
            <w:rFonts w:ascii="Google Sans" w:cs="Google Sans" w:eastAsia="Google Sans" w:hAnsi="Google Sans"/>
            <w:color w:val="0000ee"/>
            <w:sz w:val="24"/>
            <w:szCs w:val="24"/>
            <w:u w:val="single"/>
            <w:rtl w:val="0"/>
          </w:rPr>
          <w:t xml:space="preserve">https://www.parasoft.com/blog/controlling-llm-hallucinations-application-level-best-practices/</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FinGround: Detecting and Grounding Financial Hallucinations via Atomic Claim Verification - arXiv, accessed May 18, 2026, </w:t>
      </w:r>
      <w:hyperlink r:id="rId58">
        <w:r w:rsidDel="00000000" w:rsidR="00000000" w:rsidRPr="00000000">
          <w:rPr>
            <w:rFonts w:ascii="Google Sans" w:cs="Google Sans" w:eastAsia="Google Sans" w:hAnsi="Google Sans"/>
            <w:color w:val="0000ee"/>
            <w:sz w:val="24"/>
            <w:szCs w:val="24"/>
            <w:u w:val="single"/>
            <w:rtl w:val="0"/>
          </w:rPr>
          <w:t xml:space="preserve">https://arxiv.org/pdf/2604.23588</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Neuro-Symbolic Financial Reasoning via Deterministic Fact Ledgers and Adversarial Low-Latency Hallucination Detector - arXiv, accessed May 18, 2026, </w:t>
      </w:r>
      <w:hyperlink r:id="rId59">
        <w:r w:rsidDel="00000000" w:rsidR="00000000" w:rsidRPr="00000000">
          <w:rPr>
            <w:rFonts w:ascii="Google Sans" w:cs="Google Sans" w:eastAsia="Google Sans" w:hAnsi="Google Sans"/>
            <w:color w:val="0000ee"/>
            <w:sz w:val="24"/>
            <w:szCs w:val="24"/>
            <w:u w:val="single"/>
            <w:rtl w:val="0"/>
          </w:rPr>
          <w:t xml:space="preserve">https://arxiv.org/html/2603.04663v1</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and Conversational Multi-Method Explainability for Trustworthy Financial AI, accessed May 18, 2026, </w:t>
      </w:r>
      <w:hyperlink r:id="rId60">
        <w:r w:rsidDel="00000000" w:rsidR="00000000" w:rsidRPr="00000000">
          <w:rPr>
            <w:rFonts w:ascii="Google Sans" w:cs="Google Sans" w:eastAsia="Google Sans" w:hAnsi="Google Sans"/>
            <w:color w:val="0000ee"/>
            <w:sz w:val="24"/>
            <w:szCs w:val="24"/>
            <w:u w:val="single"/>
            <w:rtl w:val="0"/>
          </w:rPr>
          <w:t xml:space="preserve">https://arxiv.org/html/2605.11687v1</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Analogy-Driven Financial Chain-of-Thought (AD-FCoT): A Prompting Approach for Financial Sentiment Analysis - arXiv, accessed May 18, 2026, </w:t>
      </w:r>
      <w:hyperlink r:id="rId61">
        <w:r w:rsidDel="00000000" w:rsidR="00000000" w:rsidRPr="00000000">
          <w:rPr>
            <w:rFonts w:ascii="Google Sans" w:cs="Google Sans" w:eastAsia="Google Sans" w:hAnsi="Google Sans"/>
            <w:color w:val="0000ee"/>
            <w:sz w:val="24"/>
            <w:szCs w:val="24"/>
            <w:u w:val="single"/>
            <w:rtl w:val="0"/>
          </w:rPr>
          <w:t xml:space="preserve">https://arxiv.org/html/2509.12611v1</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Financial Sentiment Analysis and Trading Strategy Development Using Large Language Models - ResearchGate, accessed May 18,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https://www.researchgate.net/publication/384218469_Enhanced_Financial_Sentiment_Analysis_and_Trading_Strategy_Development_Using_Large_Language_Models</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Reactions to Earnings Calls: Evidence from GPT-4o Derived Sentiment Analysis - Tilburg University, accessed May 18, 2026, </w:t>
      </w:r>
      <w:hyperlink r:id="rId63">
        <w:r w:rsidDel="00000000" w:rsidR="00000000" w:rsidRPr="00000000">
          <w:rPr>
            <w:rFonts w:ascii="Google Sans" w:cs="Google Sans" w:eastAsia="Google Sans" w:hAnsi="Google Sans"/>
            <w:color w:val="0000ee"/>
            <w:sz w:val="24"/>
            <w:szCs w:val="24"/>
            <w:u w:val="single"/>
            <w:rtl w:val="0"/>
          </w:rPr>
          <w:t xml:space="preserve">http://arno.uvt.nl/show.cgi?fid=188999</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sentiment analysis: evaluated on the stock market - Diva-Portal.org, accessed May 18, 2026, </w:t>
      </w:r>
      <w:hyperlink r:id="rId64">
        <w:r w:rsidDel="00000000" w:rsidR="00000000" w:rsidRPr="00000000">
          <w:rPr>
            <w:rFonts w:ascii="Google Sans" w:cs="Google Sans" w:eastAsia="Google Sans" w:hAnsi="Google Sans"/>
            <w:color w:val="0000ee"/>
            <w:sz w:val="24"/>
            <w:szCs w:val="24"/>
            <w:u w:val="single"/>
            <w:rtl w:val="0"/>
          </w:rPr>
          <w:t xml:space="preserve">https://www.diva-portal.org/smash/get/diva2:1985458/FULLTEXT01.pdf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10-K Annual Report Filings Dataset (1993–Present) - SEC API, accessed May 18, 2026, </w:t>
      </w:r>
      <w:hyperlink r:id="rId65">
        <w:r w:rsidDel="00000000" w:rsidR="00000000" w:rsidRPr="00000000">
          <w:rPr>
            <w:rFonts w:ascii="Google Sans" w:cs="Google Sans" w:eastAsia="Google Sans" w:hAnsi="Google Sans"/>
            <w:color w:val="0000ee"/>
            <w:sz w:val="24"/>
            <w:szCs w:val="24"/>
            <w:u w:val="single"/>
            <w:rtl w:val="0"/>
          </w:rPr>
          <w:t xml:space="preserve">https://sec-api.io/datasets/form-10k-content</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Sentiment Analysis in Financial Markets: Multi-Stage LLM Integration for Market-Neutral Alpha Generation - MDPI, accessed May 18, 2026, </w:t>
      </w:r>
      <w:hyperlink r:id="rId66">
        <w:r w:rsidDel="00000000" w:rsidR="00000000" w:rsidRPr="00000000">
          <w:rPr>
            <w:rFonts w:ascii="Google Sans" w:cs="Google Sans" w:eastAsia="Google Sans" w:hAnsi="Google Sans"/>
            <w:color w:val="0000ee"/>
            <w:sz w:val="24"/>
            <w:szCs w:val="24"/>
            <w:u w:val="single"/>
            <w:rtl w:val="0"/>
          </w:rPr>
          <w:t xml:space="preserve">https://www.mdpi.com/2673-2688/7/4/138</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LLMs for sentiment trading? - Quantra by QuantInsti, accessed May 18, 2026, </w:t>
      </w:r>
      <w:hyperlink r:id="rId67">
        <w:r w:rsidDel="00000000" w:rsidR="00000000" w:rsidRPr="00000000">
          <w:rPr>
            <w:rFonts w:ascii="Google Sans" w:cs="Google Sans" w:eastAsia="Google Sans" w:hAnsi="Google Sans"/>
            <w:color w:val="0000ee"/>
            <w:sz w:val="24"/>
            <w:szCs w:val="24"/>
            <w:u w:val="single"/>
            <w:rtl w:val="0"/>
          </w:rPr>
          <w:t xml:space="preserve">https://quantra.quantinsti.com/glossary/how-to-use-llms-for-sentiment-trading</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trading with large language models - arXiv, accessed May 18, 2026, </w:t>
      </w:r>
      <w:hyperlink r:id="rId68">
        <w:r w:rsidDel="00000000" w:rsidR="00000000" w:rsidRPr="00000000">
          <w:rPr>
            <w:rFonts w:ascii="Google Sans" w:cs="Google Sans" w:eastAsia="Google Sans" w:hAnsi="Google Sans"/>
            <w:color w:val="0000ee"/>
            <w:sz w:val="24"/>
            <w:szCs w:val="24"/>
            <w:u w:val="single"/>
            <w:rtl w:val="0"/>
          </w:rPr>
          <w:t xml:space="preserve">https://arxiv.org/html/2412.19245v1</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for Finance: Workflows, Tips, and Case Studies, accessed May 18, 2026, </w:t>
      </w:r>
      <w:hyperlink r:id="rId69">
        <w:r w:rsidDel="00000000" w:rsidR="00000000" w:rsidRPr="00000000">
          <w:rPr>
            <w:rFonts w:ascii="Google Sans" w:cs="Google Sans" w:eastAsia="Google Sans" w:hAnsi="Google Sans"/>
            <w:color w:val="0000ee"/>
            <w:sz w:val="24"/>
            <w:szCs w:val="24"/>
            <w:u w:val="single"/>
            <w:rtl w:val="0"/>
          </w:rPr>
          <w:t xml:space="preserve">https://rpc.cfainstitute.org/research/the-automation-ahead-content-series/agentic-ai-for-finance</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Hallucinations and Factual Errors - Galileo, accessed May 18, 2026, </w:t>
      </w:r>
      <w:hyperlink r:id="rId70">
        <w:r w:rsidDel="00000000" w:rsidR="00000000" w:rsidRPr="00000000">
          <w:rPr>
            <w:rFonts w:ascii="Google Sans" w:cs="Google Sans" w:eastAsia="Google Sans" w:hAnsi="Google Sans"/>
            <w:color w:val="0000ee"/>
            <w:sz w:val="24"/>
            <w:szCs w:val="24"/>
            <w:u w:val="single"/>
            <w:rtl w:val="0"/>
          </w:rPr>
          <w:t xml:space="preserve">https://docs.galileo.ai/how-to-guides/conversational-ai/fixing-hallucinations-and-factual-errors</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still hallucinates even with “good” chunking. Here's where it actually leaks. : r/LLMDevs, accessed May 18, 2026, </w:t>
      </w:r>
      <w:hyperlink r:id="rId71">
        <w:r w:rsidDel="00000000" w:rsidR="00000000" w:rsidRPr="00000000">
          <w:rPr>
            <w:rFonts w:ascii="Google Sans" w:cs="Google Sans" w:eastAsia="Google Sans" w:hAnsi="Google Sans"/>
            <w:color w:val="0000ee"/>
            <w:sz w:val="24"/>
            <w:szCs w:val="24"/>
            <w:u w:val="single"/>
            <w:rtl w:val="0"/>
          </w:rPr>
          <w:t xml:space="preserve">https://www.reddit.com/r/LLMDevs/comments/1plynfw/rag_still_hallucinates_even_with_good_chunking/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yerbrown.com/-/media/files/perspectives-events/publications/2023/08/tbl-783-final-files-to-abafull-survey-section-fed-regulations-of-securitiestbl-783-full-sectionfederal-regulation-of-securities.pdf?rev=-1" TargetMode="External"/><Relationship Id="rId42" Type="http://schemas.openxmlformats.org/officeDocument/2006/relationships/hyperlink" Target="https://mlq.ai/academy/" TargetMode="External"/><Relationship Id="rId41" Type="http://schemas.openxmlformats.org/officeDocument/2006/relationships/hyperlink" Target="https://www.mdpi.com/2224-2708/15/1/23" TargetMode="External"/><Relationship Id="rId44" Type="http://schemas.openxmlformats.org/officeDocument/2006/relationships/hyperlink" Target="https://developer.nvidia.com/blog/finding-the-best-chunking-strategy-for-accurate-ai-responses/" TargetMode="External"/><Relationship Id="rId43" Type="http://schemas.openxmlformats.org/officeDocument/2006/relationships/hyperlink" Target="https://arxiv.org/pdf/2410.19727" TargetMode="External"/><Relationship Id="rId46" Type="http://schemas.openxmlformats.org/officeDocument/2006/relationships/hyperlink" Target="https://www.reddit.com/r/algotrading/comments/1jvftsj/sentiment_based_trading_strategy_stupid_idea/" TargetMode="External"/><Relationship Id="rId45" Type="http://schemas.openxmlformats.org/officeDocument/2006/relationships/hyperlink" Target="https://arxiv.org/html/2410.19727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www.firecrawl.dev/blog/best-investment-research-apis" TargetMode="External"/><Relationship Id="rId47" Type="http://schemas.openxmlformats.org/officeDocument/2006/relationships/hyperlink" Target="https://aclanthology.org/2025.findings-acl.1164.pdf" TargetMode="External"/><Relationship Id="rId49" Type="http://schemas.openxmlformats.org/officeDocument/2006/relationships/hyperlink" Target="https://medium.com/@rishantwork/building-finsight-a-production-grade-financial-research-assistant-powered-by-rag-0e3bb1fbeeef"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7.png"/><Relationship Id="rId8" Type="http://schemas.openxmlformats.org/officeDocument/2006/relationships/image" Target="media/image7.png"/><Relationship Id="rId31" Type="http://schemas.openxmlformats.org/officeDocument/2006/relationships/hyperlink" Target="https://thegrigorian.medium.com/going-beyond-vanilla-rag-overcoming-challenges-with-weighted-retrieval-e0281dc4768c" TargetMode="External"/><Relationship Id="rId30" Type="http://schemas.openxmlformats.org/officeDocument/2006/relationships/hyperlink" Target="https://edgartools.readthedocs.io/en/latest/complete-guide/" TargetMode="External"/><Relationship Id="rId33" Type="http://schemas.openxmlformats.org/officeDocument/2006/relationships/hyperlink" Target="https://landing.ai/blog/beyond-flat-chunks" TargetMode="External"/><Relationship Id="rId32" Type="http://schemas.openxmlformats.org/officeDocument/2006/relationships/hyperlink" Target="https://towardsdatascience.com/enforcing-json-outputs-in-commercial-llms-3db590b9b3c8/" TargetMode="External"/><Relationship Id="rId35" Type="http://schemas.openxmlformats.org/officeDocument/2006/relationships/hyperlink" Target="https://medium.com/@shayat10943/ai-architecture-knowledge-graphs-rag-18c945266b3a" TargetMode="External"/><Relationship Id="rId34" Type="http://schemas.openxmlformats.org/officeDocument/2006/relationships/hyperlink" Target="https://medium.com/@june.shin/rag-performance-starts-with-preprocessing-not-retrieval-56772945d32e" TargetMode="External"/><Relationship Id="rId71" Type="http://schemas.openxmlformats.org/officeDocument/2006/relationships/hyperlink" Target="https://www.reddit.com/r/LLMDevs/comments/1plynfw/rag_still_hallucinates_even_with_good_chunking/" TargetMode="External"/><Relationship Id="rId70" Type="http://schemas.openxmlformats.org/officeDocument/2006/relationships/hyperlink" Target="https://docs.galileo.ai/how-to-guides/conversational-ai/fixing-hallucinations-and-factual-errors" TargetMode="External"/><Relationship Id="rId37" Type="http://schemas.openxmlformats.org/officeDocument/2006/relationships/hyperlink" Target="https://www.reddit.com/r/Rag/comments/1mjwde9/best_chunking_strategy_for_rag_on_annualfinancial/" TargetMode="External"/><Relationship Id="rId36" Type="http://schemas.openxmlformats.org/officeDocument/2006/relationships/hyperlink" Target="https://www.snowflake.com/en/blog/engineering/impact-retrieval-chunking-finance-rag/" TargetMode="External"/><Relationship Id="rId39" Type="http://schemas.openxmlformats.org/officeDocument/2006/relationships/hyperlink" Target="https://arxiv.org/html/2604.23588v1" TargetMode="External"/><Relationship Id="rId38" Type="http://schemas.openxmlformats.org/officeDocument/2006/relationships/hyperlink" Target="https://apify.com/oakridge_tech/sec-edgar-filings-api" TargetMode="External"/><Relationship Id="rId62" Type="http://schemas.openxmlformats.org/officeDocument/2006/relationships/hyperlink" Target="https://www.researchgate.net/publication/384218469_Enhanced_Financial_Sentiment_Analysis_and_Trading_Strategy_Development_Using_Large_Language_Models" TargetMode="External"/><Relationship Id="rId61" Type="http://schemas.openxmlformats.org/officeDocument/2006/relationships/hyperlink" Target="https://arxiv.org/html/2509.12611v1" TargetMode="External"/><Relationship Id="rId20" Type="http://schemas.openxmlformats.org/officeDocument/2006/relationships/image" Target="media/image15.png"/><Relationship Id="rId64" Type="http://schemas.openxmlformats.org/officeDocument/2006/relationships/hyperlink" Target="https://www.diva-portal.org/smash/get/diva2:1985458/FULLTEXT01.pdf" TargetMode="External"/><Relationship Id="rId63" Type="http://schemas.openxmlformats.org/officeDocument/2006/relationships/hyperlink" Target="http://arno.uvt.nl/show.cgi?fid=188999" TargetMode="External"/><Relationship Id="rId22" Type="http://schemas.openxmlformats.org/officeDocument/2006/relationships/image" Target="media/image9.png"/><Relationship Id="rId66" Type="http://schemas.openxmlformats.org/officeDocument/2006/relationships/hyperlink" Target="https://www.mdpi.com/2673-2688/7/4/138" TargetMode="External"/><Relationship Id="rId21" Type="http://schemas.openxmlformats.org/officeDocument/2006/relationships/image" Target="media/image14.png"/><Relationship Id="rId65" Type="http://schemas.openxmlformats.org/officeDocument/2006/relationships/hyperlink" Target="https://sec-api.io/datasets/form-10k-content" TargetMode="External"/><Relationship Id="rId24" Type="http://schemas.openxmlformats.org/officeDocument/2006/relationships/hyperlink" Target="https://aws.amazon.com/blogs/machine-learning/reducing-hallucinations-in-large-language-models-with-custom-intervention-using-amazon-bedrock-agents/" TargetMode="External"/><Relationship Id="rId68" Type="http://schemas.openxmlformats.org/officeDocument/2006/relationships/hyperlink" Target="https://arxiv.org/html/2412.19245v1" TargetMode="External"/><Relationship Id="rId23" Type="http://schemas.openxmlformats.org/officeDocument/2006/relationships/hyperlink" Target="https://you.com/resources/ai-hallucination-prevention-guide" TargetMode="External"/><Relationship Id="rId67" Type="http://schemas.openxmlformats.org/officeDocument/2006/relationships/hyperlink" Target="https://quantra.quantinsti.com/glossary/how-to-use-llms-for-sentiment-trading" TargetMode="External"/><Relationship Id="rId60" Type="http://schemas.openxmlformats.org/officeDocument/2006/relationships/hyperlink" Target="https://arxiv.org/html/2605.11687v1" TargetMode="External"/><Relationship Id="rId26" Type="http://schemas.openxmlformats.org/officeDocument/2006/relationships/hyperlink" Target="https://www.promptingguide.ai/research/rag" TargetMode="External"/><Relationship Id="rId25" Type="http://schemas.openxmlformats.org/officeDocument/2006/relationships/hyperlink" Target="https://en.wikipedia.org/wiki/Retrieval-augmented_generation" TargetMode="External"/><Relationship Id="rId69" Type="http://schemas.openxmlformats.org/officeDocument/2006/relationships/hyperlink" Target="https://rpc.cfainstitute.org/research/the-automation-ahead-content-series/agentic-ai-for-finance" TargetMode="External"/><Relationship Id="rId28" Type="http://schemas.openxmlformats.org/officeDocument/2006/relationships/hyperlink" Target="https://www.sec.gov/divisions/investment/13f-list.pdf" TargetMode="External"/><Relationship Id="rId27" Type="http://schemas.openxmlformats.org/officeDocument/2006/relationships/hyperlink" Target="https://tetrate.io/learn/ai/llm-hallucination-prevention" TargetMode="External"/><Relationship Id="rId29" Type="http://schemas.openxmlformats.org/officeDocument/2006/relationships/hyperlink" Target="https://arxiv.org/html/2506.15846v1" TargetMode="External"/><Relationship Id="rId51" Type="http://schemas.openxmlformats.org/officeDocument/2006/relationships/hyperlink" Target="https://dev.to/dthompsondev/llm-structured-json-building-production-ready-ai-features-with-schema-enforced-outputs-4j2j" TargetMode="External"/><Relationship Id="rId50" Type="http://schemas.openxmlformats.org/officeDocument/2006/relationships/hyperlink" Target="https://medium.com/logspace/beyond-basic-rag-retrieval-weighting-86deb741f5cc" TargetMode="External"/><Relationship Id="rId53" Type="http://schemas.openxmlformats.org/officeDocument/2006/relationships/hyperlink" Target="https://arxiv.org/html/2502.14905v1" TargetMode="External"/><Relationship Id="rId52" Type="http://schemas.openxmlformats.org/officeDocument/2006/relationships/hyperlink" Target="https://www.doc.ic.ac.uk/~nuric/posts/coding/structuring-llm-responses-with-json-schema/" TargetMode="External"/><Relationship Id="rId11" Type="http://schemas.openxmlformats.org/officeDocument/2006/relationships/image" Target="media/image3.png"/><Relationship Id="rId55" Type="http://schemas.openxmlformats.org/officeDocument/2006/relationships/hyperlink" Target="https://www.mastercontrol.com/gxp-lifeline/thinkjson-ai-solution-for-life-science-manufacturing/" TargetMode="External"/><Relationship Id="rId10" Type="http://schemas.openxmlformats.org/officeDocument/2006/relationships/image" Target="media/image10.png"/><Relationship Id="rId54" Type="http://schemas.openxmlformats.org/officeDocument/2006/relationships/hyperlink" Target="https://arxiv.org/abs/2502.14905" TargetMode="External"/><Relationship Id="rId13" Type="http://schemas.openxmlformats.org/officeDocument/2006/relationships/image" Target="media/image11.png"/><Relationship Id="rId57" Type="http://schemas.openxmlformats.org/officeDocument/2006/relationships/hyperlink" Target="https://www.parasoft.com/blog/controlling-llm-hallucinations-application-level-best-practices/" TargetMode="External"/><Relationship Id="rId12" Type="http://schemas.openxmlformats.org/officeDocument/2006/relationships/image" Target="media/image12.png"/><Relationship Id="rId56" Type="http://schemas.openxmlformats.org/officeDocument/2006/relationships/hyperlink" Target="https://www.preprints.org/manuscript/202502.1390/v1" TargetMode="External"/><Relationship Id="rId15" Type="http://schemas.openxmlformats.org/officeDocument/2006/relationships/image" Target="media/image5.png"/><Relationship Id="rId59" Type="http://schemas.openxmlformats.org/officeDocument/2006/relationships/hyperlink" Target="https://arxiv.org/html/2603.04663v1" TargetMode="External"/><Relationship Id="rId14" Type="http://schemas.openxmlformats.org/officeDocument/2006/relationships/image" Target="media/image8.png"/><Relationship Id="rId58" Type="http://schemas.openxmlformats.org/officeDocument/2006/relationships/hyperlink" Target="https://arxiv.org/pdf/2604.23588" TargetMode="External"/><Relationship Id="rId17" Type="http://schemas.openxmlformats.org/officeDocument/2006/relationships/image" Target="media/image2.png"/><Relationship Id="rId16" Type="http://schemas.openxmlformats.org/officeDocument/2006/relationships/image" Target="media/image6.png"/><Relationship Id="rId19" Type="http://schemas.openxmlformats.org/officeDocument/2006/relationships/image" Target="media/image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