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D01D83">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76" w:history="1">
            <w:r w:rsidR="002C2E51" w:rsidRPr="000F11A6">
              <w:rPr>
                <w:rStyle w:val="Hyperlink"/>
                <w:noProof/>
              </w:rPr>
              <w:t>Introduction</w:t>
            </w:r>
            <w:r w:rsidR="002C2E51">
              <w:rPr>
                <w:noProof/>
                <w:webHidden/>
              </w:rPr>
              <w:tab/>
            </w:r>
            <w:r w:rsidR="002C2E51">
              <w:rPr>
                <w:noProof/>
                <w:webHidden/>
              </w:rPr>
              <w:fldChar w:fldCharType="begin"/>
            </w:r>
            <w:r w:rsidR="002C2E51">
              <w:rPr>
                <w:noProof/>
                <w:webHidden/>
              </w:rPr>
              <w:instrText xml:space="preserve"> PAGEREF _Toc444670276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77" w:history="1">
            <w:r w:rsidR="002C2E51" w:rsidRPr="000F11A6">
              <w:rPr>
                <w:rStyle w:val="Hyperlink"/>
                <w:noProof/>
              </w:rPr>
              <w:t>Literature Survey</w:t>
            </w:r>
            <w:r w:rsidR="002C2E51">
              <w:rPr>
                <w:noProof/>
                <w:webHidden/>
              </w:rPr>
              <w:tab/>
            </w:r>
            <w:r w:rsidR="002C2E51">
              <w:rPr>
                <w:noProof/>
                <w:webHidden/>
              </w:rPr>
              <w:fldChar w:fldCharType="begin"/>
            </w:r>
            <w:r w:rsidR="002C2E51">
              <w:rPr>
                <w:noProof/>
                <w:webHidden/>
              </w:rPr>
              <w:instrText xml:space="preserve"> PAGEREF _Toc444670277 \h </w:instrText>
            </w:r>
            <w:r w:rsidR="002C2E51">
              <w:rPr>
                <w:noProof/>
                <w:webHidden/>
              </w:rPr>
            </w:r>
            <w:r w:rsidR="002C2E51">
              <w:rPr>
                <w:noProof/>
                <w:webHidden/>
              </w:rPr>
              <w:fldChar w:fldCharType="separate"/>
            </w:r>
            <w:r w:rsidR="002C2E51">
              <w:rPr>
                <w:noProof/>
                <w:webHidden/>
              </w:rPr>
              <w:t>2</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78" w:history="1">
            <w:r w:rsidR="002C2E51" w:rsidRPr="000F11A6">
              <w:rPr>
                <w:rStyle w:val="Hyperlink"/>
                <w:noProof/>
              </w:rPr>
              <w:t>Design of experiments</w:t>
            </w:r>
            <w:r w:rsidR="002C2E51">
              <w:rPr>
                <w:noProof/>
                <w:webHidden/>
              </w:rPr>
              <w:tab/>
            </w:r>
            <w:r w:rsidR="002C2E51">
              <w:rPr>
                <w:noProof/>
                <w:webHidden/>
              </w:rPr>
              <w:fldChar w:fldCharType="begin"/>
            </w:r>
            <w:r w:rsidR="002C2E51">
              <w:rPr>
                <w:noProof/>
                <w:webHidden/>
              </w:rPr>
              <w:instrText xml:space="preserve"> PAGEREF _Toc444670278 \h </w:instrText>
            </w:r>
            <w:r w:rsidR="002C2E51">
              <w:rPr>
                <w:noProof/>
                <w:webHidden/>
              </w:rPr>
            </w:r>
            <w:r w:rsidR="002C2E51">
              <w:rPr>
                <w:noProof/>
                <w:webHidden/>
              </w:rPr>
              <w:fldChar w:fldCharType="separate"/>
            </w:r>
            <w:r w:rsidR="002C2E51">
              <w:rPr>
                <w:noProof/>
                <w:webHidden/>
              </w:rPr>
              <w:t>3</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79" w:history="1">
            <w:r w:rsidR="002C2E51" w:rsidRPr="000F11A6">
              <w:rPr>
                <w:rStyle w:val="Hyperlink"/>
                <w:noProof/>
              </w:rPr>
              <w:t>Summary of data</w:t>
            </w:r>
            <w:r w:rsidR="002C2E51">
              <w:rPr>
                <w:noProof/>
                <w:webHidden/>
              </w:rPr>
              <w:tab/>
            </w:r>
            <w:r w:rsidR="002C2E51">
              <w:rPr>
                <w:noProof/>
                <w:webHidden/>
              </w:rPr>
              <w:fldChar w:fldCharType="begin"/>
            </w:r>
            <w:r w:rsidR="002C2E51">
              <w:rPr>
                <w:noProof/>
                <w:webHidden/>
              </w:rPr>
              <w:instrText xml:space="preserve"> PAGEREF _Toc444670279 \h </w:instrText>
            </w:r>
            <w:r w:rsidR="002C2E51">
              <w:rPr>
                <w:noProof/>
                <w:webHidden/>
              </w:rPr>
            </w:r>
            <w:r w:rsidR="002C2E51">
              <w:rPr>
                <w:noProof/>
                <w:webHidden/>
              </w:rPr>
              <w:fldChar w:fldCharType="separate"/>
            </w:r>
            <w:r w:rsidR="002C2E51">
              <w:rPr>
                <w:noProof/>
                <w:webHidden/>
              </w:rPr>
              <w:t>4</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80" w:history="1">
            <w:r w:rsidR="002C2E51" w:rsidRPr="000F11A6">
              <w:rPr>
                <w:rStyle w:val="Hyperlink"/>
                <w:noProof/>
              </w:rPr>
              <w:t>Analysis</w:t>
            </w:r>
            <w:r w:rsidR="002C2E51">
              <w:rPr>
                <w:noProof/>
                <w:webHidden/>
              </w:rPr>
              <w:tab/>
            </w:r>
            <w:r w:rsidR="002C2E51">
              <w:rPr>
                <w:noProof/>
                <w:webHidden/>
              </w:rPr>
              <w:fldChar w:fldCharType="begin"/>
            </w:r>
            <w:r w:rsidR="002C2E51">
              <w:rPr>
                <w:noProof/>
                <w:webHidden/>
              </w:rPr>
              <w:instrText xml:space="preserve"> PAGEREF _Toc444670280 \h </w:instrText>
            </w:r>
            <w:r w:rsidR="002C2E51">
              <w:rPr>
                <w:noProof/>
                <w:webHidden/>
              </w:rPr>
            </w:r>
            <w:r w:rsidR="002C2E51">
              <w:rPr>
                <w:noProof/>
                <w:webHidden/>
              </w:rPr>
              <w:fldChar w:fldCharType="separate"/>
            </w:r>
            <w:r w:rsidR="002C2E51">
              <w:rPr>
                <w:noProof/>
                <w:webHidden/>
              </w:rPr>
              <w:t>5</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81" w:history="1">
            <w:r w:rsidR="002C2E51" w:rsidRPr="000F11A6">
              <w:rPr>
                <w:rStyle w:val="Hyperlink"/>
                <w:noProof/>
              </w:rPr>
              <w:t>Conclusion</w:t>
            </w:r>
            <w:r w:rsidR="002C2E51">
              <w:rPr>
                <w:noProof/>
                <w:webHidden/>
              </w:rPr>
              <w:tab/>
            </w:r>
            <w:r w:rsidR="002C2E51">
              <w:rPr>
                <w:noProof/>
                <w:webHidden/>
              </w:rPr>
              <w:fldChar w:fldCharType="begin"/>
            </w:r>
            <w:r w:rsidR="002C2E51">
              <w:rPr>
                <w:noProof/>
                <w:webHidden/>
              </w:rPr>
              <w:instrText xml:space="preserve"> PAGEREF _Toc444670281 \h </w:instrText>
            </w:r>
            <w:r w:rsidR="002C2E51">
              <w:rPr>
                <w:noProof/>
                <w:webHidden/>
              </w:rPr>
            </w:r>
            <w:r w:rsidR="002C2E51">
              <w:rPr>
                <w:noProof/>
                <w:webHidden/>
              </w:rPr>
              <w:fldChar w:fldCharType="separate"/>
            </w:r>
            <w:r w:rsidR="002C2E51">
              <w:rPr>
                <w:noProof/>
                <w:webHidden/>
              </w:rPr>
              <w:t>6</w:t>
            </w:r>
            <w:r w:rsidR="002C2E51">
              <w:rPr>
                <w:noProof/>
                <w:webHidden/>
              </w:rPr>
              <w:fldChar w:fldCharType="end"/>
            </w:r>
          </w:hyperlink>
        </w:p>
        <w:p w:rsidR="002C2E51" w:rsidRDefault="00D01D83">
          <w:pPr>
            <w:pStyle w:val="TOC1"/>
            <w:tabs>
              <w:tab w:val="right" w:leader="dot" w:pos="9350"/>
            </w:tabs>
            <w:rPr>
              <w:rFonts w:eastAsiaTheme="minorEastAsia"/>
              <w:noProof/>
            </w:rPr>
          </w:pPr>
          <w:hyperlink w:anchor="_Toc444670282" w:history="1">
            <w:r w:rsidR="002C2E51" w:rsidRPr="000F11A6">
              <w:rPr>
                <w:rStyle w:val="Hyperlink"/>
                <w:noProof/>
              </w:rPr>
              <w:t>Bibliography</w:t>
            </w:r>
            <w:r w:rsidR="002C2E51">
              <w:rPr>
                <w:noProof/>
                <w:webHidden/>
              </w:rPr>
              <w:tab/>
            </w:r>
            <w:r w:rsidR="002C2E51">
              <w:rPr>
                <w:noProof/>
                <w:webHidden/>
              </w:rPr>
              <w:fldChar w:fldCharType="begin"/>
            </w:r>
            <w:r w:rsidR="002C2E51">
              <w:rPr>
                <w:noProof/>
                <w:webHidden/>
              </w:rPr>
              <w:instrText xml:space="preserve"> PAGEREF _Toc444670282 \h </w:instrText>
            </w:r>
            <w:r w:rsidR="002C2E51">
              <w:rPr>
                <w:noProof/>
                <w:webHidden/>
              </w:rPr>
            </w:r>
            <w:r w:rsidR="002C2E51">
              <w:rPr>
                <w:noProof/>
                <w:webHidden/>
              </w:rPr>
              <w:fldChar w:fldCharType="separate"/>
            </w:r>
            <w:r w:rsidR="002C2E51">
              <w:rPr>
                <w:noProof/>
                <w:webHidden/>
              </w:rPr>
              <w:t>7</w:t>
            </w:r>
            <w:r w:rsidR="002C2E51">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EndPr/>
        <w:sdtContent>
          <w:r>
            <w:fldChar w:fldCharType="begin"/>
          </w:r>
          <w:r>
            <w:instrText xml:space="preserve"> CITATION Ros99 \l 1033 </w:instrText>
          </w:r>
          <w:r>
            <w:fldChar w:fldCharType="separate"/>
          </w:r>
          <w:r w:rsidR="00AE0082">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EndPr/>
        <w:sdtContent>
          <w:r w:rsidR="00E1041F">
            <w:fldChar w:fldCharType="begin"/>
          </w:r>
          <w:r w:rsidR="00E1041F">
            <w:instrText xml:space="preserve"> CITATION Mis00 \l 1033 </w:instrText>
          </w:r>
          <w:r w:rsidR="00E1041F">
            <w:fldChar w:fldCharType="separate"/>
          </w:r>
          <w:r w:rsidR="00AE0082">
            <w:rPr>
              <w:noProof/>
            </w:rPr>
            <w:t>(Misra R. &amp;., 2000)</w:t>
          </w:r>
          <w:r w:rsidR="00E1041F">
            <w:fldChar w:fldCharType="end"/>
          </w:r>
        </w:sdtContent>
      </w:sdt>
      <w:r w:rsidR="00EF469C">
        <w:t xml:space="preserve"> Time management is major solution for stress reduction, offered multiple factors in effective time management. </w:t>
      </w:r>
      <w:sdt>
        <w:sdtPr>
          <w:id w:val="-188678002"/>
          <w:citation/>
        </w:sdtPr>
        <w:sdtEndPr/>
        <w:sdtContent>
          <w:r w:rsidR="00EF469C">
            <w:fldChar w:fldCharType="begin"/>
          </w:r>
          <w:r w:rsidR="00EF469C">
            <w:instrText xml:space="preserve"> CITATION Mac90 \l 1033 </w:instrText>
          </w:r>
          <w:r w:rsidR="00EF469C">
            <w:fldChar w:fldCharType="separate"/>
          </w:r>
          <w:r w:rsidR="00AE0082">
            <w:rPr>
              <w:noProof/>
            </w:rPr>
            <w:t>(Macan, 1990)</w:t>
          </w:r>
          <w:r w:rsidR="00EF469C">
            <w:fldChar w:fldCharType="end"/>
          </w:r>
        </w:sdtContent>
      </w:sdt>
    </w:p>
    <w:p w:rsidR="00C5495C" w:rsidRDefault="00777C17" w:rsidP="00A177FC">
      <w:pPr>
        <w:ind w:left="360" w:firstLine="360"/>
      </w:pPr>
      <w:r>
        <w:t xml:space="preserve">Faculty believe students are more stressed than the classroom than students report. Mismatch between how we perceive student stress and how they experience it. </w:t>
      </w:r>
      <w:sdt>
        <w:sdtPr>
          <w:id w:val="-329754747"/>
          <w:citation/>
        </w:sdtPr>
        <w:sdtEndPr/>
        <w:sdtContent>
          <w:r>
            <w:fldChar w:fldCharType="begin"/>
          </w:r>
          <w:r>
            <w:instrText xml:space="preserve"> CITATION Mis001 \l 1033 </w:instrText>
          </w:r>
          <w:r>
            <w:fldChar w:fldCharType="separate"/>
          </w:r>
          <w:r w:rsidR="00AE0082">
            <w:rPr>
              <w:noProof/>
            </w:rPr>
            <w:t>(Misra R. M., 2000)</w:t>
          </w:r>
          <w:r>
            <w:fldChar w:fldCharType="end"/>
          </w:r>
        </w:sdtContent>
      </w:sdt>
      <w:r w:rsidR="00A472D4">
        <w:t xml:space="preserve"> </w:t>
      </w:r>
      <w:r w:rsidR="00EF469C">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EndPr/>
        <w:sdtContent>
          <w:r w:rsidR="00C5495C">
            <w:fldChar w:fldCharType="begin"/>
          </w:r>
          <w:r w:rsidR="00C5495C">
            <w:instrText xml:space="preserve"> CITATION Men87 \l 1033 </w:instrText>
          </w:r>
          <w:r w:rsidR="00C5495C">
            <w:fldChar w:fldCharType="separate"/>
          </w:r>
          <w:r w:rsidR="00AE0082">
            <w:rPr>
              <w:noProof/>
            </w:rPr>
            <w:t>(Mena, 1987)</w:t>
          </w:r>
          <w:r w:rsidR="00C5495C">
            <w:fldChar w:fldCharType="end"/>
          </w:r>
        </w:sdtContent>
      </w:sdt>
    </w:p>
    <w:p w:rsidR="000400DD" w:rsidRDefault="000400DD" w:rsidP="00EF469C">
      <w:pPr>
        <w:ind w:left="360" w:firstLine="360"/>
      </w:pPr>
      <w:r>
        <w:t xml:space="preserve">Brougham’s work is instructive in the formation of questionnaires posed to students. She correlated stressor to stress coping strategies in a useful way that sheds light on how playbooks for stress reduction are formed. In her work we see very valuable routes for studying high performance individuals, and how they solve stress-inducing problems with specific strategies. </w:t>
      </w:r>
      <w:sdt>
        <w:sdtPr>
          <w:id w:val="1973398810"/>
          <w:citation/>
        </w:sdtPr>
        <w:sdtEndPr/>
        <w:sdtContent>
          <w:r w:rsidR="00667090">
            <w:fldChar w:fldCharType="begin"/>
          </w:r>
          <w:r w:rsidR="00667090">
            <w:instrText xml:space="preserve"> CITATION Bro09 \l 1033 </w:instrText>
          </w:r>
          <w:r w:rsidR="00667090">
            <w:fldChar w:fldCharType="separate"/>
          </w:r>
          <w:r w:rsidR="00AE0082">
            <w:rPr>
              <w:noProof/>
            </w:rPr>
            <w:t>(Brougham, 2009)</w:t>
          </w:r>
          <w:r w:rsidR="00667090">
            <w:fldChar w:fldCharType="end"/>
          </w:r>
        </w:sdtContent>
      </w:sdt>
    </w:p>
    <w:p w:rsidR="00667090" w:rsidRDefault="00667090" w:rsidP="00EF469C">
      <w:pPr>
        <w:ind w:left="360" w:firstLine="360"/>
      </w:pPr>
      <w:r>
        <w:t>To recap her work, she compares stressor to coping strategy in the following way: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252"/>
      </w:tblGrid>
      <w:tr w:rsidR="00A177FC" w:rsidTr="00A177FC">
        <w:trPr>
          <w:trHeight w:val="302"/>
          <w:jc w:val="center"/>
        </w:trPr>
        <w:tc>
          <w:tcPr>
            <w:tcW w:w="2020" w:type="dxa"/>
          </w:tcPr>
          <w:p w:rsidR="00A177FC" w:rsidRPr="00A177FC" w:rsidRDefault="00A177FC" w:rsidP="00A177FC">
            <w:pPr>
              <w:jc w:val="center"/>
              <w:rPr>
                <w:i/>
                <w:sz w:val="24"/>
              </w:rPr>
            </w:pPr>
            <w:r w:rsidRPr="00A177FC">
              <w:rPr>
                <w:i/>
                <w:sz w:val="24"/>
              </w:rPr>
              <w:t>Stressor</w:t>
            </w:r>
          </w:p>
        </w:tc>
        <w:tc>
          <w:tcPr>
            <w:tcW w:w="2252" w:type="dxa"/>
          </w:tcPr>
          <w:p w:rsidR="00A177FC" w:rsidRPr="00A177FC" w:rsidRDefault="00A177FC" w:rsidP="00A177FC">
            <w:pPr>
              <w:jc w:val="center"/>
              <w:rPr>
                <w:i/>
                <w:sz w:val="24"/>
              </w:rPr>
            </w:pPr>
            <w:r w:rsidRPr="00A177FC">
              <w:rPr>
                <w:i/>
                <w:sz w:val="24"/>
              </w:rPr>
              <w:t>Coping method:</w:t>
            </w:r>
          </w:p>
        </w:tc>
      </w:tr>
      <w:tr w:rsidR="00A177FC" w:rsidTr="00A177FC">
        <w:trPr>
          <w:trHeight w:val="281"/>
          <w:jc w:val="center"/>
        </w:trPr>
        <w:tc>
          <w:tcPr>
            <w:tcW w:w="2020" w:type="dxa"/>
          </w:tcPr>
          <w:p w:rsidR="00A177FC" w:rsidRDefault="00A177FC" w:rsidP="00EF469C">
            <w:r>
              <w:t>Academic</w:t>
            </w:r>
          </w:p>
        </w:tc>
        <w:tc>
          <w:tcPr>
            <w:tcW w:w="2252" w:type="dxa"/>
          </w:tcPr>
          <w:p w:rsidR="00A177FC" w:rsidRDefault="00A177FC" w:rsidP="00EF469C">
            <w:r>
              <w:t>Self – help</w:t>
            </w:r>
          </w:p>
        </w:tc>
      </w:tr>
      <w:tr w:rsidR="00A177FC" w:rsidTr="00A177FC">
        <w:trPr>
          <w:trHeight w:val="281"/>
          <w:jc w:val="center"/>
        </w:trPr>
        <w:tc>
          <w:tcPr>
            <w:tcW w:w="2020" w:type="dxa"/>
          </w:tcPr>
          <w:p w:rsidR="00A177FC" w:rsidRDefault="00A177FC" w:rsidP="00EF469C">
            <w:r>
              <w:t>Family</w:t>
            </w:r>
          </w:p>
        </w:tc>
        <w:tc>
          <w:tcPr>
            <w:tcW w:w="2252" w:type="dxa"/>
          </w:tcPr>
          <w:p w:rsidR="00A177FC" w:rsidRDefault="00A177FC" w:rsidP="00EF469C">
            <w:r>
              <w:t>Approach</w:t>
            </w:r>
          </w:p>
        </w:tc>
      </w:tr>
      <w:tr w:rsidR="00A177FC" w:rsidTr="00A177FC">
        <w:trPr>
          <w:trHeight w:val="270"/>
          <w:jc w:val="center"/>
        </w:trPr>
        <w:tc>
          <w:tcPr>
            <w:tcW w:w="2020" w:type="dxa"/>
          </w:tcPr>
          <w:p w:rsidR="00A177FC" w:rsidRDefault="00A177FC" w:rsidP="00EF469C">
            <w:r>
              <w:t>Work</w:t>
            </w:r>
          </w:p>
        </w:tc>
        <w:tc>
          <w:tcPr>
            <w:tcW w:w="2252" w:type="dxa"/>
          </w:tcPr>
          <w:p w:rsidR="00A177FC" w:rsidRDefault="00A177FC" w:rsidP="00EF469C">
            <w:r>
              <w:t>Accommodation</w:t>
            </w:r>
          </w:p>
        </w:tc>
      </w:tr>
      <w:tr w:rsidR="00A177FC" w:rsidTr="00A177FC">
        <w:trPr>
          <w:trHeight w:val="281"/>
          <w:jc w:val="center"/>
        </w:trPr>
        <w:tc>
          <w:tcPr>
            <w:tcW w:w="2020" w:type="dxa"/>
          </w:tcPr>
          <w:p w:rsidR="00A177FC" w:rsidRDefault="00A177FC" w:rsidP="00EF469C">
            <w:r>
              <w:t xml:space="preserve">Social </w:t>
            </w:r>
          </w:p>
        </w:tc>
        <w:tc>
          <w:tcPr>
            <w:tcW w:w="2252" w:type="dxa"/>
          </w:tcPr>
          <w:p w:rsidR="00A177FC" w:rsidRDefault="00A177FC" w:rsidP="00EF469C">
            <w:r>
              <w:t>Avoidance</w:t>
            </w:r>
          </w:p>
        </w:tc>
      </w:tr>
      <w:tr w:rsidR="00A177FC" w:rsidTr="00A177FC">
        <w:trPr>
          <w:trHeight w:val="316"/>
          <w:jc w:val="center"/>
        </w:trPr>
        <w:tc>
          <w:tcPr>
            <w:tcW w:w="2020" w:type="dxa"/>
          </w:tcPr>
          <w:p w:rsidR="00A177FC" w:rsidRDefault="00A177FC" w:rsidP="00EF469C">
            <w:r>
              <w:t>Daily hassles</w:t>
            </w:r>
          </w:p>
        </w:tc>
        <w:tc>
          <w:tcPr>
            <w:tcW w:w="2252" w:type="dxa"/>
          </w:tcPr>
          <w:p w:rsidR="00A177FC" w:rsidRDefault="00A177FC" w:rsidP="00EF469C">
            <w:r>
              <w:t>Self-punishment</w:t>
            </w:r>
          </w:p>
        </w:tc>
      </w:tr>
    </w:tbl>
    <w:p w:rsidR="00A177FC" w:rsidRDefault="00A177FC" w:rsidP="00EF469C">
      <w:pPr>
        <w:ind w:left="360" w:firstLine="360"/>
      </w:pPr>
    </w:p>
    <w:p w:rsidR="00A472D4" w:rsidRDefault="004C254B" w:rsidP="00EE5052">
      <w:proofErr w:type="spellStart"/>
      <w:r>
        <w:t>Misra</w:t>
      </w:r>
      <w:proofErr w:type="spellEnd"/>
      <w:r>
        <w:t xml:space="preserve"> also elucidates five key types of stress: frustration, conflict, change, pressure, self-imposed. This research effort also studies the reactions to these stressors, including: physiological, emotional, behavioral, </w:t>
      </w:r>
      <w:proofErr w:type="gramStart"/>
      <w:r>
        <w:t>cognitive</w:t>
      </w:r>
      <w:proofErr w:type="gramEnd"/>
      <w:r>
        <w:t>.</w:t>
      </w:r>
      <w:sdt>
        <w:sdtPr>
          <w:id w:val="-119529281"/>
          <w:citation/>
        </w:sdtPr>
        <w:sdtContent>
          <w:r w:rsidR="00AE0082">
            <w:fldChar w:fldCharType="begin"/>
          </w:r>
          <w:r w:rsidR="00AE0082">
            <w:instrText xml:space="preserve"> CITATION Mis04 \l 1033 </w:instrText>
          </w:r>
          <w:r w:rsidR="00AE0082">
            <w:fldChar w:fldCharType="separate"/>
          </w:r>
          <w:r w:rsidR="00AE0082">
            <w:rPr>
              <w:noProof/>
            </w:rPr>
            <w:t xml:space="preserve"> (Misra R. &amp;., 2004)</w:t>
          </w:r>
          <w:r w:rsidR="00AE0082">
            <w:fldChar w:fldCharType="end"/>
          </w:r>
        </w:sdtContent>
      </w:sdt>
      <w:r>
        <w:t xml:space="preserve"> Thus, the body of prior research on stress for college enrollees has a cause and effect basis, what the student experiences </w:t>
      </w:r>
      <w:bookmarkStart w:id="3" w:name="_GoBack"/>
      <w:bookmarkEnd w:id="3"/>
      <w:r>
        <w:t xml:space="preserve">and what he/she does in response.  </w:t>
      </w:r>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Pr="008A1790" w:rsidRDefault="00CD0021" w:rsidP="008A1790">
      <w:pPr>
        <w:pStyle w:val="Heading1"/>
      </w:pPr>
      <w:bookmarkStart w:id="4" w:name="_Toc444670278"/>
      <w:r>
        <w:t>Design of experiments</w:t>
      </w:r>
      <w:bookmarkEnd w:id="4"/>
    </w:p>
    <w:p w:rsidR="004C19AA" w:rsidRDefault="004C19AA">
      <w:r>
        <w:t>Working from the Brougham template, we will configure a new template, correlating stressor to coping mechanism. Our template will include these stressors:</w:t>
      </w:r>
    </w:p>
    <w:p w:rsidR="004C19AA" w:rsidRDefault="004C19AA"/>
    <w:p w:rsidR="00CD0021" w:rsidRDefault="004C19AA">
      <w:r>
        <w:t>And these coping mechanisms, where the following is true:</w:t>
      </w:r>
      <w:r w:rsidR="00CD0021">
        <w:br w:type="page"/>
      </w:r>
    </w:p>
    <w:p w:rsidR="004C19AA" w:rsidRDefault="004C19AA">
      <w:pPr>
        <w:rPr>
          <w:rFonts w:asciiTheme="majorHAnsi" w:eastAsiaTheme="majorEastAsia" w:hAnsiTheme="majorHAnsi" w:cstheme="majorBidi"/>
          <w:color w:val="2E74B5" w:themeColor="accent1" w:themeShade="BF"/>
          <w:sz w:val="32"/>
          <w:szCs w:val="32"/>
        </w:rPr>
      </w:pPr>
    </w:p>
    <w:p w:rsidR="00CD0021" w:rsidRDefault="00CD0021" w:rsidP="00CD0021">
      <w:pPr>
        <w:pStyle w:val="Heading1"/>
      </w:pPr>
    </w:p>
    <w:p w:rsidR="00CD0021" w:rsidRDefault="00CD0021" w:rsidP="00CD0021">
      <w:pPr>
        <w:pStyle w:val="Heading1"/>
      </w:pPr>
      <w:bookmarkStart w:id="5" w:name="_Toc444670279"/>
      <w:r>
        <w:t>Summary of data</w:t>
      </w:r>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AE0082" w:rsidRDefault="00603487" w:rsidP="00AE0082">
              <w:pPr>
                <w:pStyle w:val="Bibliography"/>
                <w:ind w:left="720" w:hanging="720"/>
                <w:rPr>
                  <w:noProof/>
                  <w:sz w:val="24"/>
                  <w:szCs w:val="24"/>
                </w:rPr>
              </w:pPr>
              <w:r>
                <w:fldChar w:fldCharType="begin"/>
              </w:r>
              <w:r>
                <w:instrText xml:space="preserve"> BIBLIOGRAPHY </w:instrText>
              </w:r>
              <w:r>
                <w:fldChar w:fldCharType="separate"/>
              </w:r>
              <w:r w:rsidR="00AE0082">
                <w:rPr>
                  <w:noProof/>
                </w:rPr>
                <w:t xml:space="preserve">Brougham, R. R. (2009). Stress, sex differences, and coping strategies among college students. </w:t>
              </w:r>
              <w:r w:rsidR="00AE0082">
                <w:rPr>
                  <w:i/>
                  <w:iCs/>
                  <w:noProof/>
                </w:rPr>
                <w:t>Current psychology, 28(2)</w:t>
              </w:r>
              <w:r w:rsidR="00AE0082">
                <w:rPr>
                  <w:noProof/>
                </w:rPr>
                <w:t>, 85-97.</w:t>
              </w:r>
            </w:p>
            <w:p w:rsidR="00AE0082" w:rsidRDefault="00AE0082" w:rsidP="00AE0082">
              <w:pPr>
                <w:pStyle w:val="Bibliography"/>
                <w:ind w:left="720" w:hanging="720"/>
                <w:rPr>
                  <w:noProof/>
                </w:rPr>
              </w:pPr>
              <w:r>
                <w:rPr>
                  <w:noProof/>
                </w:rPr>
                <w:t xml:space="preserve">Macan, T. H. (1990). ollege students' time management: Correlations with academic performance and stress. </w:t>
              </w:r>
              <w:r>
                <w:rPr>
                  <w:i/>
                  <w:iCs/>
                  <w:noProof/>
                </w:rPr>
                <w:t>Journal of educational psychology, 82(4)</w:t>
              </w:r>
              <w:r>
                <w:rPr>
                  <w:noProof/>
                </w:rPr>
                <w:t>, 760.</w:t>
              </w:r>
            </w:p>
            <w:p w:rsidR="00AE0082" w:rsidRDefault="00AE0082" w:rsidP="00AE0082">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AE0082" w:rsidRDefault="00AE0082" w:rsidP="00AE0082">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AE0082" w:rsidRDefault="00AE0082" w:rsidP="00AE0082">
              <w:pPr>
                <w:pStyle w:val="Bibliography"/>
                <w:ind w:left="720" w:hanging="720"/>
                <w:rPr>
                  <w:noProof/>
                </w:rPr>
              </w:pPr>
              <w:r>
                <w:rPr>
                  <w:noProof/>
                </w:rPr>
                <w:t xml:space="preserve">Misra, R. &amp;. (2004). Academic Stress Among College Students: Comparison of American and International Students. </w:t>
              </w:r>
              <w:r>
                <w:rPr>
                  <w:i/>
                  <w:iCs/>
                  <w:noProof/>
                </w:rPr>
                <w:t>International Journal of Stress Management, 11(2),</w:t>
              </w:r>
              <w:r>
                <w:rPr>
                  <w:noProof/>
                </w:rPr>
                <w:t>, 132.</w:t>
              </w:r>
            </w:p>
            <w:p w:rsidR="00AE0082" w:rsidRDefault="00AE0082" w:rsidP="00AE0082">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AE0082" w:rsidRDefault="00AE0082" w:rsidP="00AE0082">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AE0082">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0400DD"/>
    <w:rsid w:val="002C2E51"/>
    <w:rsid w:val="004C19AA"/>
    <w:rsid w:val="004C254B"/>
    <w:rsid w:val="005C73FE"/>
    <w:rsid w:val="00603487"/>
    <w:rsid w:val="00667090"/>
    <w:rsid w:val="006A6943"/>
    <w:rsid w:val="00777C17"/>
    <w:rsid w:val="008974E9"/>
    <w:rsid w:val="008A1790"/>
    <w:rsid w:val="008E0687"/>
    <w:rsid w:val="00A177FC"/>
    <w:rsid w:val="00A35B90"/>
    <w:rsid w:val="00A472D4"/>
    <w:rsid w:val="00AD16F2"/>
    <w:rsid w:val="00AE0082"/>
    <w:rsid w:val="00BA5DCA"/>
    <w:rsid w:val="00BF0BE4"/>
    <w:rsid w:val="00C5495C"/>
    <w:rsid w:val="00CD0021"/>
    <w:rsid w:val="00D01D83"/>
    <w:rsid w:val="00D514E7"/>
    <w:rsid w:val="00E1041F"/>
    <w:rsid w:val="00EE5052"/>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 w:type="paragraph" w:styleId="NormalWeb">
    <w:name w:val="Normal (Web)"/>
    <w:basedOn w:val="Normal"/>
    <w:uiPriority w:val="99"/>
    <w:semiHidden/>
    <w:unhideWhenUsed/>
    <w:rsid w:val="00A177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1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8183">
      <w:bodyDiv w:val="1"/>
      <w:marLeft w:val="0"/>
      <w:marRight w:val="0"/>
      <w:marTop w:val="0"/>
      <w:marBottom w:val="0"/>
      <w:divBdr>
        <w:top w:val="none" w:sz="0" w:space="0" w:color="auto"/>
        <w:left w:val="none" w:sz="0" w:space="0" w:color="auto"/>
        <w:bottom w:val="none" w:sz="0" w:space="0" w:color="auto"/>
        <w:right w:val="none" w:sz="0" w:space="0" w:color="auto"/>
      </w:divBdr>
    </w:div>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02405131">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432821788">
      <w:bodyDiv w:val="1"/>
      <w:marLeft w:val="0"/>
      <w:marRight w:val="0"/>
      <w:marTop w:val="0"/>
      <w:marBottom w:val="0"/>
      <w:divBdr>
        <w:top w:val="none" w:sz="0" w:space="0" w:color="auto"/>
        <w:left w:val="none" w:sz="0" w:space="0" w:color="auto"/>
        <w:bottom w:val="none" w:sz="0" w:space="0" w:color="auto"/>
        <w:right w:val="none" w:sz="0" w:space="0" w:color="auto"/>
      </w:divBdr>
    </w:div>
    <w:div w:id="555358311">
      <w:bodyDiv w:val="1"/>
      <w:marLeft w:val="0"/>
      <w:marRight w:val="0"/>
      <w:marTop w:val="0"/>
      <w:marBottom w:val="0"/>
      <w:divBdr>
        <w:top w:val="none" w:sz="0" w:space="0" w:color="auto"/>
        <w:left w:val="none" w:sz="0" w:space="0" w:color="auto"/>
        <w:bottom w:val="none" w:sz="0" w:space="0" w:color="auto"/>
        <w:right w:val="none" w:sz="0" w:space="0" w:color="auto"/>
      </w:divBdr>
    </w:div>
    <w:div w:id="614096532">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791821807">
      <w:bodyDiv w:val="1"/>
      <w:marLeft w:val="0"/>
      <w:marRight w:val="0"/>
      <w:marTop w:val="0"/>
      <w:marBottom w:val="0"/>
      <w:divBdr>
        <w:top w:val="none" w:sz="0" w:space="0" w:color="auto"/>
        <w:left w:val="none" w:sz="0" w:space="0" w:color="auto"/>
        <w:bottom w:val="none" w:sz="0" w:space="0" w:color="auto"/>
        <w:right w:val="none" w:sz="0" w:space="0" w:color="auto"/>
      </w:divBdr>
    </w:div>
    <w:div w:id="896624829">
      <w:bodyDiv w:val="1"/>
      <w:marLeft w:val="0"/>
      <w:marRight w:val="0"/>
      <w:marTop w:val="0"/>
      <w:marBottom w:val="0"/>
      <w:divBdr>
        <w:top w:val="none" w:sz="0" w:space="0" w:color="auto"/>
        <w:left w:val="none" w:sz="0" w:space="0" w:color="auto"/>
        <w:bottom w:val="none" w:sz="0" w:space="0" w:color="auto"/>
        <w:right w:val="none" w:sz="0" w:space="0" w:color="auto"/>
      </w:divBdr>
    </w:div>
    <w:div w:id="1029912752">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257522322">
      <w:bodyDiv w:val="1"/>
      <w:marLeft w:val="0"/>
      <w:marRight w:val="0"/>
      <w:marTop w:val="0"/>
      <w:marBottom w:val="0"/>
      <w:divBdr>
        <w:top w:val="none" w:sz="0" w:space="0" w:color="auto"/>
        <w:left w:val="none" w:sz="0" w:space="0" w:color="auto"/>
        <w:bottom w:val="none" w:sz="0" w:space="0" w:color="auto"/>
        <w:right w:val="none" w:sz="0" w:space="0" w:color="auto"/>
      </w:divBdr>
    </w:div>
    <w:div w:id="1504515931">
      <w:bodyDiv w:val="1"/>
      <w:marLeft w:val="0"/>
      <w:marRight w:val="0"/>
      <w:marTop w:val="0"/>
      <w:marBottom w:val="0"/>
      <w:divBdr>
        <w:top w:val="none" w:sz="0" w:space="0" w:color="auto"/>
        <w:left w:val="none" w:sz="0" w:space="0" w:color="auto"/>
        <w:bottom w:val="none" w:sz="0" w:space="0" w:color="auto"/>
        <w:right w:val="none" w:sz="0" w:space="0" w:color="auto"/>
      </w:divBdr>
    </w:div>
    <w:div w:id="1519611965">
      <w:bodyDiv w:val="1"/>
      <w:marLeft w:val="0"/>
      <w:marRight w:val="0"/>
      <w:marTop w:val="0"/>
      <w:marBottom w:val="0"/>
      <w:divBdr>
        <w:top w:val="none" w:sz="0" w:space="0" w:color="auto"/>
        <w:left w:val="none" w:sz="0" w:space="0" w:color="auto"/>
        <w:bottom w:val="none" w:sz="0" w:space="0" w:color="auto"/>
        <w:right w:val="none" w:sz="0" w:space="0" w:color="auto"/>
      </w:divBdr>
    </w:div>
    <w:div w:id="1528135560">
      <w:bodyDiv w:val="1"/>
      <w:marLeft w:val="0"/>
      <w:marRight w:val="0"/>
      <w:marTop w:val="0"/>
      <w:marBottom w:val="0"/>
      <w:divBdr>
        <w:top w:val="none" w:sz="0" w:space="0" w:color="auto"/>
        <w:left w:val="none" w:sz="0" w:space="0" w:color="auto"/>
        <w:bottom w:val="none" w:sz="0" w:space="0" w:color="auto"/>
        <w:right w:val="none" w:sz="0" w:space="0" w:color="auto"/>
      </w:divBdr>
    </w:div>
    <w:div w:id="1745100318">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 w:id="2042783088">
      <w:bodyDiv w:val="1"/>
      <w:marLeft w:val="0"/>
      <w:marRight w:val="0"/>
      <w:marTop w:val="0"/>
      <w:marBottom w:val="0"/>
      <w:divBdr>
        <w:top w:val="none" w:sz="0" w:space="0" w:color="auto"/>
        <w:left w:val="none" w:sz="0" w:space="0" w:color="auto"/>
        <w:bottom w:val="none" w:sz="0" w:space="0" w:color="auto"/>
        <w:right w:val="none" w:sz="0" w:space="0" w:color="auto"/>
      </w:divBdr>
    </w:div>
    <w:div w:id="2139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4</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3</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
    <b:Tag>Bro09</b:Tag>
    <b:SourceType>JournalArticle</b:SourceType>
    <b:Guid>{1E5B94B6-7956-480E-8603-C5E7899BAEA3}</b:Guid>
    <b:Title> Stress, sex differences, and coping strategies among college students</b:Title>
    <b:Year>2009</b:Year>
    <b:Author>
      <b:Author>
        <b:NameList>
          <b:Person>
            <b:Last>Brougham</b:Last>
            <b:First>R.</b:First>
            <b:Middle>R., Zail, C. M., Mendoza, C. M., &amp; Miller, J. R.</b:Middle>
          </b:Person>
        </b:NameList>
      </b:Author>
    </b:Author>
    <b:JournalName>Current psychology, 28(2)</b:JournalName>
    <b:Pages>85-97</b:Pages>
    <b:RefOrder>6</b:RefOrder>
  </b:Source>
  <b:Source>
    <b:Tag>Mis04</b:Tag>
    <b:SourceType>JournalArticle</b:SourceType>
    <b:Guid>{8D7DD712-9172-4EA2-B464-BAFE8D3D7C81}</b:Guid>
    <b:Title> Academic Stress Among College Students: Comparison of American and International Students.</b:Title>
    <b:Year>2004</b:Year>
    <b:Author>
      <b:Author>
        <b:NameList>
          <b:Person>
            <b:Last>Misra</b:Last>
            <b:First>R.,</b:First>
            <b:Middle>&amp; Castillo, L. G.</b:Middle>
          </b:Person>
        </b:NameList>
      </b:Author>
    </b:Author>
    <b:JournalName>International Journal of Stress Management, 11(2),</b:JournalName>
    <b:Pages>132</b:Pages>
    <b:RefOrder>7</b:RefOrder>
  </b:Source>
</b:Sources>
</file>

<file path=customXml/itemProps1.xml><?xml version="1.0" encoding="utf-8"?>
<ds:datastoreItem xmlns:ds="http://schemas.openxmlformats.org/officeDocument/2006/customXml" ds:itemID="{0CBA464F-33FB-426F-9F2B-F0A4C6F0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24</cp:revision>
  <dcterms:created xsi:type="dcterms:W3CDTF">2016-02-22T16:53:00Z</dcterms:created>
  <dcterms:modified xsi:type="dcterms:W3CDTF">2016-03-14T16:14:00Z</dcterms:modified>
</cp:coreProperties>
</file>