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canonical execution pattern</w:t>
      </w:r>
      <w:r>
        <w:t xml:space="preserve"> </w:t>
      </w:r>
      <w:r>
        <w:t xml:space="preserve">for the Generator component of the Polyurethane Observatory. It exists to ensure that the system is built correctly, remains auditable, and enforces scope and pricing discipline.</w:t>
      </w:r>
    </w:p>
    <w:p>
      <w:pPr>
        <w:pStyle w:val="BodyText"/>
      </w:pPr>
      <w:r>
        <w:t xml:space="preserve">This document is intended for implementation guidance in Cursor.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"/>
    <w:p>
      <w:pPr>
        <w:pStyle w:val="Heading2"/>
      </w:pPr>
      <w:r>
        <w:t xml:space="preserve">Core Principle</w:t>
      </w:r>
    </w:p>
    <w:p>
      <w:pPr>
        <w:pStyle w:val="FirstParagraph"/>
      </w:pPr>
      <w:r>
        <w:t xml:space="preserve">The Generator is the orchestrator. The OpenAI Assistant is an execution engine.</w:t>
      </w:r>
    </w:p>
    <w:p>
      <w:pPr>
        <w:pStyle w:val="BodyText"/>
      </w:pPr>
      <w:r>
        <w:t xml:space="preserve">The Assistant does not remember users, preferences, or prior runs. All intelligence boundaries are enforced by the Generator through explicit inputs.</w:t>
      </w:r>
    </w:p>
    <w:p>
      <w:r>
        <w:pict>
          <v:rect style="width:0;height:1.5pt" o:hralign="center" o:hrstd="t" o:hr="t"/>
        </w:pict>
      </w:r>
    </w:p>
    <w:bookmarkEnd w:id="21"/>
    <w:bookmarkStart w:id="29" w:name="canonical-execution-flow"/>
    <w:p>
      <w:pPr>
        <w:pStyle w:val="Heading2"/>
      </w:pPr>
      <w:r>
        <w:t xml:space="preserve">Canonical Execution Flow</w:t>
      </w:r>
    </w:p>
    <w:bookmarkStart w:id="22" w:name="step-1-retrieve-active-specification"/>
    <w:p>
      <w:pPr>
        <w:pStyle w:val="Heading3"/>
      </w:pPr>
      <w:r>
        <w:t xml:space="preserve">Step 1 – Retrieve Active Specification</w:t>
      </w:r>
    </w:p>
    <w:p>
      <w:pPr>
        <w:pStyle w:val="FirstParagraph"/>
      </w:pPr>
      <w:r>
        <w:t xml:space="preserve">The Generator retrieves the active Generator Specification from storage for the requesting workspace and newsletter.</w:t>
      </w:r>
    </w:p>
    <w:p>
      <w:pPr>
        <w:pStyle w:val="BodyText"/>
      </w:pPr>
      <w:r>
        <w:t xml:space="preserve">The specification includes:</w:t>
      </w:r>
      <w:r>
        <w:t xml:space="preserve"> </w:t>
      </w:r>
      <w:r>
        <w:t xml:space="preserve">- selected deliverables</w:t>
      </w:r>
      <w:r>
        <w:t xml:space="preserve"> </w:t>
      </w:r>
      <w:r>
        <w:t xml:space="preserve">- selected regions</w:t>
      </w:r>
      <w:r>
        <w:t xml:space="preserve"> </w:t>
      </w:r>
      <w:r>
        <w:t xml:space="preserve">- selected supply-chain links</w:t>
      </w:r>
      <w:r>
        <w:t xml:space="preserve"> </w:t>
      </w:r>
      <w:r>
        <w:t xml:space="preserve">- cadence type</w:t>
      </w:r>
      <w:r>
        <w:t xml:space="preserve"> </w:t>
      </w:r>
      <w:r>
        <w:t xml:space="preserve">- activation status</w:t>
      </w:r>
    </w:p>
    <w:p>
      <w:pPr>
        <w:pStyle w:val="BodyText"/>
      </w:pPr>
      <w:r>
        <w:t xml:space="preserve">If the specification is not active, execution stops.</w:t>
      </w:r>
    </w:p>
    <w:p>
      <w:r>
        <w:pict>
          <v:rect style="width:0;height:1.5pt" o:hralign="center" o:hrstd="t" o:hr="t"/>
        </w:pict>
      </w:r>
    </w:p>
    <w:bookmarkEnd w:id="22"/>
    <w:bookmarkStart w:id="23" w:name="step-2-enforce-cadence-rules"/>
    <w:p>
      <w:pPr>
        <w:pStyle w:val="Heading3"/>
      </w:pPr>
      <w:r>
        <w:t xml:space="preserve">Step 2 – Enforce Cadence Rules</w:t>
      </w:r>
    </w:p>
    <w:p>
      <w:pPr>
        <w:pStyle w:val="FirstParagraph"/>
      </w:pPr>
      <w:r>
        <w:t xml:space="preserve">Before any execution:</w:t>
      </w:r>
    </w:p>
    <w:p>
      <w:pPr>
        <w:pStyle w:val="Compact"/>
        <w:numPr>
          <w:ilvl w:val="0"/>
          <w:numId w:val="1001"/>
        </w:numPr>
      </w:pPr>
      <w:r>
        <w:t xml:space="preserve">Determine the cadence period (daily, weekly, monthly)</w:t>
      </w:r>
    </w:p>
    <w:p>
      <w:pPr>
        <w:pStyle w:val="Compact"/>
        <w:numPr>
          <w:ilvl w:val="0"/>
          <w:numId w:val="1001"/>
        </w:numPr>
      </w:pPr>
      <w:r>
        <w:t xml:space="preserve">Check for an existing successful run within the same period</w:t>
      </w:r>
    </w:p>
    <w:p>
      <w:pPr>
        <w:pStyle w:val="Compact"/>
        <w:numPr>
          <w:ilvl w:val="0"/>
          <w:numId w:val="1001"/>
        </w:numPr>
      </w:pPr>
      <w:r>
        <w:t xml:space="preserve">If a successful run exists, block execution and return a clear status message</w:t>
      </w:r>
    </w:p>
    <w:p>
      <w:pPr>
        <w:pStyle w:val="FirstParagraph"/>
      </w:pPr>
      <w:r>
        <w:t xml:space="preserve">Only successful runs consume a cadence slot.</w:t>
      </w:r>
    </w:p>
    <w:p>
      <w:r>
        <w:pict>
          <v:rect style="width:0;height:1.5pt" o:hralign="center" o:hrstd="t" o:hr="t"/>
        </w:pict>
      </w:r>
    </w:p>
    <w:bookmarkEnd w:id="23"/>
    <w:bookmarkStart w:id="24" w:name="step-3-assemble-run-package"/>
    <w:p>
      <w:pPr>
        <w:pStyle w:val="Heading3"/>
      </w:pPr>
      <w:r>
        <w:t xml:space="preserve">Step 3 – Assemble Run Package</w:t>
      </w:r>
    </w:p>
    <w:p>
      <w:pPr>
        <w:pStyle w:val="FirstParagraph"/>
      </w:pPr>
      <w:r>
        <w:t xml:space="preserve">The Generator builds a complete run package consisting of:</w:t>
      </w:r>
    </w:p>
    <w:p>
      <w:pPr>
        <w:pStyle w:val="Compact"/>
        <w:numPr>
          <w:ilvl w:val="0"/>
          <w:numId w:val="1002"/>
        </w:numPr>
      </w:pPr>
      <w:r>
        <w:t xml:space="preserve">System instruction:</w:t>
      </w:r>
      <w:r>
        <w:t xml:space="preserve"> </w:t>
      </w:r>
      <w:r>
        <w:rPr>
          <w:i/>
          <w:iCs/>
        </w:rPr>
        <w:t xml:space="preserve">Polyurethane Observatory Intelligence Analyst</w:t>
      </w:r>
    </w:p>
    <w:p>
      <w:pPr>
        <w:pStyle w:val="Compact"/>
        <w:numPr>
          <w:ilvl w:val="0"/>
          <w:numId w:val="1002"/>
        </w:numPr>
      </w:pPr>
      <w:r>
        <w:t xml:space="preserve">User-specific Generator Specification</w:t>
      </w:r>
    </w:p>
    <w:p>
      <w:pPr>
        <w:pStyle w:val="Compact"/>
        <w:numPr>
          <w:ilvl w:val="0"/>
          <w:numId w:val="1002"/>
        </w:numPr>
      </w:pPr>
      <w:r>
        <w:t xml:space="preserve">Cadence context (daily / weekly / monthly)</w:t>
      </w:r>
    </w:p>
    <w:p>
      <w:pPr>
        <w:pStyle w:val="Compact"/>
        <w:numPr>
          <w:ilvl w:val="0"/>
          <w:numId w:val="1002"/>
        </w:numPr>
      </w:pPr>
      <w:r>
        <w:t xml:space="preserve">Optional historical reference (previous run IDs or timestamps)</w:t>
      </w:r>
    </w:p>
    <w:p>
      <w:pPr>
        <w:pStyle w:val="FirstParagraph"/>
      </w:pPr>
      <w:r>
        <w:t xml:space="preserve">This package represents the full and only context provided to the Assistant.</w:t>
      </w:r>
    </w:p>
    <w:p>
      <w:r>
        <w:pict>
          <v:rect style="width:0;height:1.5pt" o:hralign="center" o:hrstd="t" o:hr="t"/>
        </w:pict>
      </w:r>
    </w:p>
    <w:bookmarkEnd w:id="24"/>
    <w:bookmarkStart w:id="25" w:name="step-4-execute-assistant"/>
    <w:p>
      <w:pPr>
        <w:pStyle w:val="Heading3"/>
      </w:pPr>
      <w:r>
        <w:t xml:space="preserve">Step 4 – Execute Assistant</w:t>
      </w:r>
    </w:p>
    <w:p>
      <w:pPr>
        <w:pStyle w:val="FirstParagraph"/>
      </w:pPr>
      <w:r>
        <w:t xml:space="preserve">The Generator submits the run package to OpenAI.</w:t>
      </w:r>
    </w:p>
    <w:p>
      <w:pPr>
        <w:pStyle w:val="BodyText"/>
      </w:pPr>
      <w:r>
        <w:t xml:space="preserve">Rules:</w:t>
      </w:r>
      <w:r>
        <w:t xml:space="preserve"> </w:t>
      </w:r>
      <w:r>
        <w:t xml:space="preserve">- The Assistant must not infer or assume any context beyond the package</w:t>
      </w:r>
      <w:r>
        <w:t xml:space="preserve"> </w:t>
      </w:r>
      <w:r>
        <w:t xml:space="preserve">- The Assistant must not expand scope</w:t>
      </w:r>
      <w:r>
        <w:t xml:space="preserve"> </w:t>
      </w:r>
      <w:r>
        <w:t xml:space="preserve">- The Assistant must not store state</w:t>
      </w:r>
    </w:p>
    <w:p>
      <w:r>
        <w:pict>
          <v:rect style="width:0;height:1.5pt" o:hralign="center" o:hrstd="t" o:hr="t"/>
        </w:pict>
      </w:r>
    </w:p>
    <w:bookmarkEnd w:id="25"/>
    <w:bookmarkStart w:id="26" w:name="step-5-validate-output"/>
    <w:p>
      <w:pPr>
        <w:pStyle w:val="Heading3"/>
      </w:pPr>
      <w:r>
        <w:t xml:space="preserve">Step 5 – Validate Output</w:t>
      </w:r>
    </w:p>
    <w:p>
      <w:pPr>
        <w:pStyle w:val="FirstParagraph"/>
      </w:pPr>
      <w:r>
        <w:t xml:space="preserve">The Generator validates the returned output:</w:t>
      </w:r>
    </w:p>
    <w:p>
      <w:pPr>
        <w:pStyle w:val="Compact"/>
        <w:numPr>
          <w:ilvl w:val="0"/>
          <w:numId w:val="1003"/>
        </w:numPr>
      </w:pPr>
      <w:r>
        <w:t xml:space="preserve">Structural correctness</w:t>
      </w:r>
    </w:p>
    <w:p>
      <w:pPr>
        <w:pStyle w:val="Compact"/>
        <w:numPr>
          <w:ilvl w:val="0"/>
          <w:numId w:val="1003"/>
        </w:numPr>
      </w:pPr>
      <w:r>
        <w:t xml:space="preserve">Alignment with selected deliverables</w:t>
      </w:r>
    </w:p>
    <w:p>
      <w:pPr>
        <w:pStyle w:val="Compact"/>
        <w:numPr>
          <w:ilvl w:val="0"/>
          <w:numId w:val="1003"/>
        </w:numPr>
      </w:pPr>
      <w:r>
        <w:t xml:space="preserve">Absence of out-of-scope content</w:t>
      </w:r>
    </w:p>
    <w:p>
      <w:pPr>
        <w:pStyle w:val="FirstParagraph"/>
      </w:pPr>
      <w:r>
        <w:t xml:space="preserve">If validation fails, the run is marked as failed and does not consume cadence quota.</w:t>
      </w:r>
    </w:p>
    <w:p>
      <w:r>
        <w:pict>
          <v:rect style="width:0;height:1.5pt" o:hralign="center" o:hrstd="t" o:hr="t"/>
        </w:pict>
      </w:r>
    </w:p>
    <w:bookmarkEnd w:id="26"/>
    <w:bookmarkStart w:id="27" w:name="step-6-persist-results"/>
    <w:p>
      <w:pPr>
        <w:pStyle w:val="Heading3"/>
      </w:pPr>
      <w:r>
        <w:t xml:space="preserve">Step 6 – Persist Results</w:t>
      </w:r>
    </w:p>
    <w:p>
      <w:pPr>
        <w:pStyle w:val="FirstParagraph"/>
      </w:pPr>
      <w:r>
        <w:t xml:space="preserve">For successful runs:</w:t>
      </w:r>
    </w:p>
    <w:p>
      <w:pPr>
        <w:pStyle w:val="Compact"/>
        <w:numPr>
          <w:ilvl w:val="0"/>
          <w:numId w:val="1004"/>
        </w:numPr>
      </w:pPr>
      <w:r>
        <w:t xml:space="preserve">Store the generated artifact (HTML or structured output)</w:t>
      </w:r>
    </w:p>
    <w:p>
      <w:pPr>
        <w:pStyle w:val="Compact"/>
        <w:numPr>
          <w:ilvl w:val="0"/>
          <w:numId w:val="1004"/>
        </w:numPr>
      </w:pPr>
      <w:r>
        <w:t xml:space="preserve">Store run metadata (timestamp, cadence period key, status)</w:t>
      </w:r>
    </w:p>
    <w:p>
      <w:pPr>
        <w:pStyle w:val="Compact"/>
        <w:numPr>
          <w:ilvl w:val="0"/>
          <w:numId w:val="1004"/>
        </w:numPr>
      </w:pPr>
      <w:r>
        <w:t xml:space="preserve">Link the run to the specification and workspace</w:t>
      </w:r>
    </w:p>
    <w:p>
      <w:pPr>
        <w:pStyle w:val="FirstParagraph"/>
      </w:pPr>
      <w:r>
        <w:t xml:space="preserve">Artifacts are immutable once stored.</w:t>
      </w:r>
    </w:p>
    <w:p>
      <w:r>
        <w:pict>
          <v:rect style="width:0;height:1.5pt" o:hralign="center" o:hrstd="t" o:hr="t"/>
        </w:pict>
      </w:r>
    </w:p>
    <w:bookmarkEnd w:id="27"/>
    <w:bookmarkStart w:id="28" w:name="step-7-return-result-to-user"/>
    <w:p>
      <w:pPr>
        <w:pStyle w:val="Heading3"/>
      </w:pPr>
      <w:r>
        <w:t xml:space="preserve">Step 7 – Return Result to User</w:t>
      </w:r>
    </w:p>
    <w:p>
      <w:pPr>
        <w:pStyle w:val="FirstParagraph"/>
      </w:pPr>
      <w:r>
        <w:t xml:space="preserve">The Generator presents the output to the authenticated user:</w:t>
      </w:r>
    </w:p>
    <w:p>
      <w:pPr>
        <w:pStyle w:val="Compact"/>
        <w:numPr>
          <w:ilvl w:val="0"/>
          <w:numId w:val="1005"/>
        </w:numPr>
      </w:pPr>
      <w:r>
        <w:t xml:space="preserve">Preview</w:t>
      </w:r>
    </w:p>
    <w:p>
      <w:pPr>
        <w:pStyle w:val="Compact"/>
        <w:numPr>
          <w:ilvl w:val="0"/>
          <w:numId w:val="1005"/>
        </w:numPr>
      </w:pPr>
      <w:r>
        <w:t xml:space="preserve">Download</w:t>
      </w:r>
    </w:p>
    <w:p>
      <w:pPr>
        <w:pStyle w:val="Compact"/>
        <w:numPr>
          <w:ilvl w:val="0"/>
          <w:numId w:val="1005"/>
        </w:numPr>
      </w:pPr>
      <w:r>
        <w:t xml:space="preserve">History access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tatelessness-guarantee"/>
    <w:p>
      <w:pPr>
        <w:pStyle w:val="Heading2"/>
      </w:pPr>
      <w:r>
        <w:t xml:space="preserve">Statelessness Guarantee</w:t>
      </w:r>
    </w:p>
    <w:p>
      <w:pPr>
        <w:pStyle w:val="FirstParagraph"/>
      </w:pPr>
      <w:r>
        <w:t xml:space="preserve">Each execution is independent.</w:t>
      </w:r>
    </w:p>
    <w:p>
      <w:pPr>
        <w:pStyle w:val="Compact"/>
        <w:numPr>
          <w:ilvl w:val="0"/>
          <w:numId w:val="1006"/>
        </w:numPr>
      </w:pPr>
      <w:r>
        <w:t xml:space="preserve">The Assistant does not remember previous runs</w:t>
      </w:r>
    </w:p>
    <w:p>
      <w:pPr>
        <w:pStyle w:val="Compact"/>
        <w:numPr>
          <w:ilvl w:val="0"/>
          <w:numId w:val="1006"/>
        </w:numPr>
      </w:pPr>
      <w:r>
        <w:t xml:space="preserve">Continuity is managed by the Generator and storage layer</w:t>
      </w:r>
    </w:p>
    <w:p>
      <w:pPr>
        <w:pStyle w:val="Compact"/>
        <w:numPr>
          <w:ilvl w:val="0"/>
          <w:numId w:val="1006"/>
        </w:numPr>
      </w:pPr>
      <w:r>
        <w:t xml:space="preserve">This guarantees reproducibility, auditability, and scope discipline</w:t>
      </w:r>
    </w:p>
    <w:p>
      <w:r>
        <w:pict>
          <v:rect style="width:0;height:1.5pt" o:hralign="center" o:hrstd="t" o:hr="t"/>
        </w:pict>
      </w:r>
    </w:p>
    <w:bookmarkEnd w:id="30"/>
    <w:bookmarkStart w:id="31" w:name="why-this-pattern-is-mandatory"/>
    <w:p>
      <w:pPr>
        <w:pStyle w:val="Heading2"/>
      </w:pPr>
      <w:r>
        <w:t xml:space="preserve">Why This Pattern Is Mandatory</w:t>
      </w:r>
    </w:p>
    <w:p>
      <w:pPr>
        <w:pStyle w:val="FirstParagraph"/>
      </w:pPr>
      <w:r>
        <w:t xml:space="preserve">This execution pattern ensures:</w:t>
      </w:r>
    </w:p>
    <w:p>
      <w:pPr>
        <w:pStyle w:val="Compact"/>
        <w:numPr>
          <w:ilvl w:val="0"/>
          <w:numId w:val="1007"/>
        </w:numPr>
      </w:pPr>
      <w:r>
        <w:t xml:space="preserve">strict enforcement of paid scope</w:t>
      </w:r>
    </w:p>
    <w:p>
      <w:pPr>
        <w:pStyle w:val="Compact"/>
        <w:numPr>
          <w:ilvl w:val="0"/>
          <w:numId w:val="1007"/>
        </w:numPr>
      </w:pPr>
      <w:r>
        <w:t xml:space="preserve">clean separation between product logic and AI execution</w:t>
      </w:r>
    </w:p>
    <w:p>
      <w:pPr>
        <w:pStyle w:val="Compact"/>
        <w:numPr>
          <w:ilvl w:val="0"/>
          <w:numId w:val="1007"/>
        </w:numPr>
      </w:pPr>
      <w:r>
        <w:t xml:space="preserve">zero cross-user leakage risk</w:t>
      </w:r>
    </w:p>
    <w:p>
      <w:pPr>
        <w:pStyle w:val="Compact"/>
        <w:numPr>
          <w:ilvl w:val="0"/>
          <w:numId w:val="1007"/>
        </w:numPr>
      </w:pPr>
      <w:r>
        <w:t xml:space="preserve">predictable cost and performance</w:t>
      </w:r>
    </w:p>
    <w:p>
      <w:pPr>
        <w:pStyle w:val="Compact"/>
        <w:numPr>
          <w:ilvl w:val="0"/>
          <w:numId w:val="1007"/>
        </w:numPr>
      </w:pPr>
      <w:r>
        <w:t xml:space="preserve">future extensibility (multi-industry, additional deliverables)</w:t>
      </w:r>
    </w:p>
    <w:p>
      <w:pPr>
        <w:pStyle w:val="FirstParagraph"/>
      </w:pPr>
      <w:r>
        <w:t xml:space="preserve">Any deviation from this pattern risks breaking pricing, governance, and credibility.</w:t>
      </w:r>
    </w:p>
    <w:p>
      <w:r>
        <w:pict>
          <v:rect style="width:0;height:1.5pt" o:hralign="center" o:hrstd="t" o:hr="t"/>
        </w:pict>
      </w:r>
    </w:p>
    <w:bookmarkEnd w:id="31"/>
    <w:bookmarkStart w:id="32" w:name="implementation-guardrails"/>
    <w:p>
      <w:pPr>
        <w:pStyle w:val="Heading2"/>
      </w:pPr>
      <w:r>
        <w:t xml:space="preserve">Implementation Guardrails</w:t>
      </w:r>
    </w:p>
    <w:p>
      <w:pPr>
        <w:pStyle w:val="Compact"/>
        <w:numPr>
          <w:ilvl w:val="0"/>
          <w:numId w:val="1008"/>
        </w:numPr>
      </w:pPr>
      <w:r>
        <w:t xml:space="preserve">Never embed user-specific logic inside the Assistant</w:t>
      </w:r>
    </w:p>
    <w:p>
      <w:pPr>
        <w:pStyle w:val="Compact"/>
        <w:numPr>
          <w:ilvl w:val="0"/>
          <w:numId w:val="1008"/>
        </w:numPr>
      </w:pPr>
      <w:r>
        <w:t xml:space="preserve">Never allow the Assistant to decide scope</w:t>
      </w:r>
    </w:p>
    <w:p>
      <w:pPr>
        <w:pStyle w:val="Compact"/>
        <w:numPr>
          <w:ilvl w:val="0"/>
          <w:numId w:val="1008"/>
        </w:numPr>
      </w:pPr>
      <w:r>
        <w:t xml:space="preserve">Always pass the full specification on each run</w:t>
      </w:r>
    </w:p>
    <w:p>
      <w:pPr>
        <w:pStyle w:val="Compact"/>
        <w:numPr>
          <w:ilvl w:val="0"/>
          <w:numId w:val="1008"/>
        </w:numPr>
      </w:pPr>
      <w:r>
        <w:t xml:space="preserve">Treat the Assistant as replaceable infrastructure, not a system of record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execution pattern is authoritative and should be followed exactly.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2025-12-16T00:50:30Z</dcterms:created>
  <dcterms:modified xsi:type="dcterms:W3CDTF">2025-12-16T00:50:30Z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