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8e78c20eb4502675954a37bafeac175baa9dcd6"/>
    <w:p>
      <w:pPr>
        <w:pStyle w:val="Heading2"/>
      </w:pPr>
      <w:r>
        <w:t xml:space="preserve">Gravity Marketing Campaign – Polyurethane Observatory</w:t>
      </w:r>
    </w:p>
    <w:bookmarkStart w:id="20" w:name="campaign-intent"/>
    <w:p>
      <w:pPr>
        <w:pStyle w:val="Heading3"/>
      </w:pPr>
      <w:r>
        <w:t xml:space="preserve">Campaign intent</w:t>
      </w:r>
    </w:p>
    <w:p>
      <w:pPr>
        <w:pStyle w:val="FirstParagraph"/>
      </w:pPr>
      <w:r>
        <w:t xml:space="preserve">This campaign is designed as a</w:t>
      </w:r>
      <w:r>
        <w:t xml:space="preserve"> </w:t>
      </w:r>
      <w:r>
        <w:rPr>
          <w:b/>
          <w:bCs/>
        </w:rPr>
        <w:t xml:space="preserve">Gravity-style inbound engine</w:t>
      </w:r>
      <w:r>
        <w:t xml:space="preserve">.</w:t>
      </w:r>
    </w:p>
    <w:p>
      <w:pPr>
        <w:pStyle w:val="BodyText"/>
      </w:pPr>
      <w:r>
        <w:t xml:space="preserve">The objective is to:</w:t>
      </w:r>
      <w:r>
        <w:t xml:space="preserve"> </w:t>
      </w:r>
      <w:r>
        <w:t xml:space="preserve">- create curiosity through precise, industry-relevant insights</w:t>
      </w:r>
      <w:r>
        <w:t xml:space="preserve"> </w:t>
      </w:r>
      <w:r>
        <w:t xml:space="preserve">- pull the right decision-makers into a conversation</w:t>
      </w:r>
      <w:r>
        <w:t xml:space="preserve"> </w:t>
      </w:r>
      <w:r>
        <w:t xml:space="preserve">- guide them to a one-time configuration (Configurator)</w:t>
      </w:r>
      <w:r>
        <w:t xml:space="preserve"> </w:t>
      </w:r>
      <w:r>
        <w:t xml:space="preserve">- convert via invoice and paid access</w:t>
      </w:r>
    </w:p>
    <w:p>
      <w:pPr>
        <w:pStyle w:val="BodyText"/>
      </w:pPr>
      <w:r>
        <w:t xml:space="preserve">The product is positioned as</w:t>
      </w:r>
      <w:r>
        <w:t xml:space="preserve"> </w:t>
      </w:r>
      <w:r>
        <w:rPr>
          <w:b/>
          <w:bCs/>
        </w:rPr>
        <w:t xml:space="preserve">configurable polyurethane industry intelligence</w:t>
      </w:r>
      <w:r>
        <w:t xml:space="preserve">, not as a newsletter.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ampaign-architecture"/>
    <w:p>
      <w:pPr>
        <w:pStyle w:val="Heading2"/>
      </w:pPr>
      <w:r>
        <w:t xml:space="preserve">Campaign architecture</w:t>
      </w:r>
    </w:p>
    <w:p>
      <w:pPr>
        <w:pStyle w:val="FirstParagraph"/>
      </w:pPr>
      <w:r>
        <w:rPr>
          <w:b/>
          <w:bCs/>
        </w:rPr>
        <w:t xml:space="preserve">Offer</w:t>
      </w:r>
      <w:r>
        <w:t xml:space="preserve">: Polyurethane Observatory (configurable intelligence system)</w:t>
      </w:r>
    </w:p>
    <w:p>
      <w:pPr>
        <w:pStyle w:val="BodyText"/>
      </w:pPr>
      <w:r>
        <w:rPr>
          <w:b/>
          <w:bCs/>
        </w:rPr>
        <w:t xml:space="preserve">Primary CTA</w:t>
      </w:r>
      <w:r>
        <w:t xml:space="preserve">:</w:t>
      </w:r>
      <w:r>
        <w:br/>
      </w:r>
      <w:r>
        <w:t xml:space="preserve">“Comment</w:t>
      </w:r>
      <w:r>
        <w:t xml:space="preserve"> </w:t>
      </w:r>
      <w:r>
        <w:rPr>
          <w:b/>
          <w:bCs/>
        </w:rPr>
        <w:t xml:space="preserve">OBSERVATORY</w:t>
      </w:r>
      <w:r>
        <w:t xml:space="preserve"> </w:t>
      </w:r>
      <w:r>
        <w:t xml:space="preserve">and I’ll send the setup link.”</w:t>
      </w:r>
    </w:p>
    <w:p>
      <w:pPr>
        <w:pStyle w:val="BodyText"/>
      </w:pPr>
      <w:r>
        <w:rPr>
          <w:b/>
          <w:bCs/>
        </w:rPr>
        <w:t xml:space="preserve">Conversion path</w:t>
      </w:r>
      <w:r>
        <w:t xml:space="preserve">:</w:t>
      </w:r>
      <w:r>
        <w:t xml:space="preserve"> </w:t>
      </w:r>
      <w:r>
        <w:t xml:space="preserve">1. LinkedIn post</w:t>
      </w:r>
      <w:r>
        <w:t xml:space="preserve"> </w:t>
      </w:r>
      <w:r>
        <w:t xml:space="preserve">2. Comment trigger</w:t>
      </w:r>
      <w:r>
        <w:t xml:space="preserve"> </w:t>
      </w:r>
      <w:r>
        <w:t xml:space="preserve">3. Direct message</w:t>
      </w:r>
      <w:r>
        <w:t xml:space="preserve"> </w:t>
      </w:r>
      <w:r>
        <w:t xml:space="preserve">4. Configurator (one-time setup)</w:t>
      </w:r>
      <w:r>
        <w:t xml:space="preserve"> </w:t>
      </w:r>
      <w:r>
        <w:t xml:space="preserve">5. Price per month (paid annually)</w:t>
      </w:r>
      <w:r>
        <w:t xml:space="preserve"> </w:t>
      </w:r>
      <w:r>
        <w:t xml:space="preserve">6. Invoice</w:t>
      </w:r>
      <w:r>
        <w:t xml:space="preserve"> </w:t>
      </w:r>
      <w:r>
        <w:t xml:space="preserve">7. Access email</w:t>
      </w:r>
    </w:p>
    <w:p>
      <w:r>
        <w:pict>
          <v:rect style="width:0;height:1.5pt" o:hralign="center" o:hrstd="t" o:hr="t"/>
        </w:pict>
      </w:r>
    </w:p>
    <w:bookmarkEnd w:id="22"/>
    <w:bookmarkStart w:id="23" w:name="icp-sequencing"/>
    <w:p>
      <w:pPr>
        <w:pStyle w:val="Heading2"/>
      </w:pPr>
      <w:r>
        <w:t xml:space="preserve">ICP sequencing</w:t>
      </w:r>
    </w:p>
    <w:p>
      <w:pPr>
        <w:pStyle w:val="FirstParagraph"/>
      </w:pPr>
      <w:r>
        <w:t xml:space="preserve">Run campaigns sequentially, not in parallel.</w:t>
      </w:r>
    </w:p>
    <w:p>
      <w:pPr>
        <w:pStyle w:val="Compact"/>
        <w:numPr>
          <w:ilvl w:val="0"/>
          <w:numId w:val="1001"/>
        </w:numPr>
      </w:pPr>
      <w:r>
        <w:t xml:space="preserve">Procurement and sourcing leaders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Commercial and business unit leaders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Operations and supply-chain leaders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Sustainability and regulatory owners</w:t>
      </w:r>
    </w:p>
    <w:p>
      <w:pPr>
        <w:pStyle w:val="FirstParagraph"/>
      </w:pPr>
      <w:r>
        <w:t xml:space="preserve">Each campaign focuses on</w:t>
      </w:r>
      <w:r>
        <w:t xml:space="preserve"> </w:t>
      </w:r>
      <w:r>
        <w:rPr>
          <w:b/>
          <w:bCs/>
        </w:rPr>
        <w:t xml:space="preserve">one ICP at a time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8" w:name="campaign-1-signals-that-matter-earlier"/>
    <w:p>
      <w:pPr>
        <w:pStyle w:val="Heading2"/>
      </w:pPr>
      <w:r>
        <w:t xml:space="preserve">Campaign 1 – Signals that matter earlier</w:t>
      </w:r>
    </w:p>
    <w:bookmarkStart w:id="24" w:name="core-idea"/>
    <w:p>
      <w:pPr>
        <w:pStyle w:val="Heading3"/>
      </w:pPr>
      <w:r>
        <w:t xml:space="preserve">Core idea</w:t>
      </w:r>
    </w:p>
    <w:p>
      <w:pPr>
        <w:pStyle w:val="FirstParagraph"/>
      </w:pPr>
      <w:r>
        <w:t xml:space="preserve">Most PU teams do not lack news. They lack signal selection and interpretation.</w:t>
      </w:r>
    </w:p>
    <w:bookmarkEnd w:id="24"/>
    <w:bookmarkStart w:id="25" w:name="article-1"/>
    <w:p>
      <w:pPr>
        <w:pStyle w:val="Heading3"/>
      </w:pPr>
      <w:r>
        <w:t xml:space="preserve">Article 1</w:t>
      </w:r>
    </w:p>
    <w:p>
      <w:pPr>
        <w:pStyle w:val="FirstParagraph"/>
      </w:pPr>
      <w:r>
        <w:rPr>
          <w:b/>
          <w:bCs/>
        </w:rPr>
        <w:t xml:space="preserve">Title</w:t>
      </w:r>
      <w:r>
        <w:t xml:space="preserve">:</w:t>
      </w:r>
      <w:r>
        <w:br/>
      </w:r>
      <w:r>
        <w:t xml:space="preserve">From News to Signals: How PU Teams Stop Missing What Matters</w:t>
      </w:r>
    </w:p>
    <w:bookmarkEnd w:id="25"/>
    <w:bookmarkStart w:id="26" w:name="linkedin-posts-3"/>
    <w:p>
      <w:pPr>
        <w:pStyle w:val="Heading3"/>
      </w:pPr>
      <w:r>
        <w:t xml:space="preserve">LinkedIn posts (3)</w:t>
      </w:r>
    </w:p>
    <w:p>
      <w:pPr>
        <w:pStyle w:val="FirstParagraph"/>
      </w:pPr>
      <w:r>
        <w:rPr>
          <w:b/>
          <w:bCs/>
        </w:rPr>
        <w:t xml:space="preserve">Post 1 – Early-warning focus</w:t>
      </w:r>
      <w:r>
        <w:br/>
      </w:r>
      <w:r>
        <w:t xml:space="preserve">“A plant update is not a signal. The signal is what it changes. In PU, that gap is where surprises happen.”</w:t>
      </w:r>
    </w:p>
    <w:p>
      <w:pPr>
        <w:pStyle w:val="BodyText"/>
      </w:pPr>
      <w:r>
        <w:t xml:space="preserve">CTA: Comment</w:t>
      </w:r>
      <w:r>
        <w:t xml:space="preserve"> </w:t>
      </w:r>
      <w:r>
        <w:rPr>
          <w:b/>
          <w:bCs/>
        </w:rPr>
        <w:t xml:space="preserve">OBSERVATORY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Post 2 – Decision format focus</w:t>
      </w:r>
      <w:r>
        <w:br/>
      </w:r>
      <w:r>
        <w:t xml:space="preserve">“If your internal update needs 20 links, it’s not a briefing. A briefing forces a point of view.”</w:t>
      </w:r>
    </w:p>
    <w:p>
      <w:pPr>
        <w:pStyle w:val="BodyText"/>
      </w:pPr>
      <w:r>
        <w:t xml:space="preserve">CTA: Comment</w:t>
      </w:r>
      <w:r>
        <w:t xml:space="preserve"> </w:t>
      </w:r>
      <w:r>
        <w:rPr>
          <w:b/>
          <w:bCs/>
        </w:rPr>
        <w:t xml:space="preserve">OBSERVATORY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Post 3 – Scope focus</w:t>
      </w:r>
      <w:r>
        <w:br/>
      </w:r>
      <w:r>
        <w:t xml:space="preserve">“The fastest way to lose time is reading market updates that were never meant for your value-chain position.”</w:t>
      </w:r>
    </w:p>
    <w:p>
      <w:pPr>
        <w:pStyle w:val="BodyText"/>
      </w:pPr>
      <w:r>
        <w:t xml:space="preserve">CTA: Comment</w:t>
      </w:r>
      <w:r>
        <w:t xml:space="preserve"> </w:t>
      </w:r>
      <w:r>
        <w:rPr>
          <w:b/>
          <w:bCs/>
        </w:rPr>
        <w:t xml:space="preserve">OBSERVATORY</w:t>
      </w:r>
    </w:p>
    <w:bookmarkEnd w:id="26"/>
    <w:bookmarkStart w:id="27" w:name="dm-flow"/>
    <w:p>
      <w:pPr>
        <w:pStyle w:val="Heading3"/>
      </w:pPr>
      <w:r>
        <w:t xml:space="preserve">DM flow</w:t>
      </w:r>
    </w:p>
    <w:p>
      <w:pPr>
        <w:pStyle w:val="FirstParagraph"/>
      </w:pPr>
      <w:r>
        <w:rPr>
          <w:b/>
          <w:bCs/>
        </w:rPr>
        <w:t xml:space="preserve">DM 1</w:t>
      </w:r>
      <w:r>
        <w:br/>
      </w:r>
      <w:r>
        <w:t xml:space="preserve">“As promised, here’s the setup link. You configure deliverables, region, supply-chain links, and cadence once. After that, you see the price per month, paid annually.”</w:t>
      </w:r>
    </w:p>
    <w:p>
      <w:pPr>
        <w:pStyle w:val="BodyText"/>
      </w:pPr>
      <w:r>
        <w:rPr>
          <w:b/>
          <w:bCs/>
        </w:rPr>
        <w:t xml:space="preserve">DM 2 (48 hours later)</w:t>
      </w:r>
      <w:r>
        <w:br/>
      </w:r>
      <w:r>
        <w:t xml:space="preserve">“If you want, tell me your region and where you sit in the PU value chain. I can suggest a lean starting scope.”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f861584f649d3ac34af4e44338e5cfcd6706a53"/>
    <w:p>
      <w:pPr>
        <w:pStyle w:val="Heading2"/>
      </w:pPr>
      <w:r>
        <w:t xml:space="preserve">Campaign 2 – Capacity and asset moves without noise</w:t>
      </w:r>
    </w:p>
    <w:bookmarkStart w:id="29" w:name="article-2"/>
    <w:p>
      <w:pPr>
        <w:pStyle w:val="Heading3"/>
      </w:pPr>
      <w:r>
        <w:t xml:space="preserve">Article 2</w:t>
      </w:r>
    </w:p>
    <w:p>
      <w:pPr>
        <w:pStyle w:val="FirstParagraph"/>
      </w:pPr>
      <w:r>
        <w:rPr>
          <w:b/>
          <w:bCs/>
        </w:rPr>
        <w:t xml:space="preserve">Title</w:t>
      </w:r>
      <w:r>
        <w:t xml:space="preserve">:</w:t>
      </w:r>
      <w:r>
        <w:br/>
      </w:r>
      <w:r>
        <w:t xml:space="preserve">Capacity Moves in Polyurethane: What to Watch and What to Ignore</w:t>
      </w:r>
    </w:p>
    <w:bookmarkEnd w:id="29"/>
    <w:bookmarkStart w:id="30" w:name="linkedin-posts-3-1"/>
    <w:p>
      <w:pPr>
        <w:pStyle w:val="Heading3"/>
      </w:pPr>
      <w:r>
        <w:t xml:space="preserve">LinkedIn posts (3)</w:t>
      </w:r>
    </w:p>
    <w:p>
      <w:pPr>
        <w:pStyle w:val="Compact"/>
        <w:numPr>
          <w:ilvl w:val="0"/>
          <w:numId w:val="1002"/>
        </w:numPr>
      </w:pPr>
      <w:r>
        <w:t xml:space="preserve">“A capacity announcement is easy. The hard part is whether it changes your lane.”</w:t>
      </w:r>
    </w:p>
    <w:p>
      <w:pPr>
        <w:pStyle w:val="Compact"/>
        <w:numPr>
          <w:ilvl w:val="0"/>
          <w:numId w:val="1002"/>
        </w:numPr>
      </w:pPr>
      <w:r>
        <w:t xml:space="preserve">“Shutdown language, debottleneck language, utilization language. These are different signals.”</w:t>
      </w:r>
    </w:p>
    <w:p>
      <w:pPr>
        <w:pStyle w:val="Compact"/>
        <w:numPr>
          <w:ilvl w:val="0"/>
          <w:numId w:val="1002"/>
        </w:numPr>
      </w:pPr>
      <w:r>
        <w:t xml:space="preserve">“Regional capacity headlines are misleading without the supply-chain link filter.”</w:t>
      </w:r>
    </w:p>
    <w:p>
      <w:pPr>
        <w:pStyle w:val="FirstParagraph"/>
      </w:pPr>
      <w:r>
        <w:t xml:space="preserve">CTA on all posts: Comment</w:t>
      </w:r>
      <w:r>
        <w:t xml:space="preserve"> </w:t>
      </w:r>
      <w:r>
        <w:rPr>
          <w:b/>
          <w:bCs/>
        </w:rPr>
        <w:t xml:space="preserve">OBSERVATORY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e5a6261e50780e7302da718640a0c24089630e3"/>
    <w:p>
      <w:pPr>
        <w:pStyle w:val="Heading2"/>
      </w:pPr>
      <w:r>
        <w:t xml:space="preserve">Campaign 3 – Competitive developments you can actually use</w:t>
      </w:r>
    </w:p>
    <w:bookmarkStart w:id="32" w:name="article-3"/>
    <w:p>
      <w:pPr>
        <w:pStyle w:val="Heading3"/>
      </w:pPr>
      <w:r>
        <w:t xml:space="preserve">Article 3</w:t>
      </w:r>
    </w:p>
    <w:p>
      <w:pPr>
        <w:pStyle w:val="FirstParagraph"/>
      </w:pPr>
      <w:r>
        <w:rPr>
          <w:b/>
          <w:bCs/>
        </w:rPr>
        <w:t xml:space="preserve">Title</w:t>
      </w:r>
      <w:r>
        <w:t xml:space="preserve">:</w:t>
      </w:r>
      <w:r>
        <w:br/>
      </w:r>
      <w:r>
        <w:t xml:space="preserve">Competitive Intelligence in PU: Turning Public Moves into Practical Decisions</w:t>
      </w:r>
    </w:p>
    <w:bookmarkEnd w:id="32"/>
    <w:bookmarkStart w:id="33" w:name="linkedin-posts-3-2"/>
    <w:p>
      <w:pPr>
        <w:pStyle w:val="Heading3"/>
      </w:pPr>
      <w:r>
        <w:t xml:space="preserve">LinkedIn posts (3)</w:t>
      </w:r>
    </w:p>
    <w:p>
      <w:pPr>
        <w:pStyle w:val="Compact"/>
        <w:numPr>
          <w:ilvl w:val="0"/>
          <w:numId w:val="1003"/>
        </w:numPr>
      </w:pPr>
      <w:r>
        <w:t xml:space="preserve">“Partnership news is not the story. The story is the route-to-market consequence.”</w:t>
      </w:r>
    </w:p>
    <w:p>
      <w:pPr>
        <w:pStyle w:val="Compact"/>
        <w:numPr>
          <w:ilvl w:val="0"/>
          <w:numId w:val="1003"/>
        </w:numPr>
      </w:pPr>
      <w:r>
        <w:t xml:space="preserve">“If you only track producers, you miss the systems, converters, and end-use shifts.”</w:t>
      </w:r>
    </w:p>
    <w:p>
      <w:pPr>
        <w:pStyle w:val="Compact"/>
        <w:numPr>
          <w:ilvl w:val="0"/>
          <w:numId w:val="1003"/>
        </w:numPr>
      </w:pPr>
      <w:r>
        <w:t xml:space="preserve">“Competitive updates are only useful when they are scoped to your region and value-chain link.”</w:t>
      </w:r>
    </w:p>
    <w:p>
      <w:pPr>
        <w:pStyle w:val="FirstParagraph"/>
      </w:pPr>
      <w:r>
        <w:t xml:space="preserve">CTA on all posts: Comment</w:t>
      </w:r>
      <w:r>
        <w:t xml:space="preserve"> </w:t>
      </w:r>
      <w:r>
        <w:rPr>
          <w:b/>
          <w:bCs/>
        </w:rPr>
        <w:t xml:space="preserve">OBSERVATORY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X1c15b2f15bb004171df3a0a5efd29e2214e5df4"/>
    <w:p>
      <w:pPr>
        <w:pStyle w:val="Heading2"/>
      </w:pPr>
      <w:r>
        <w:t xml:space="preserve">Campaign 4 – Regulation and sustainability without panic</w:t>
      </w:r>
    </w:p>
    <w:bookmarkStart w:id="35" w:name="article-4"/>
    <w:p>
      <w:pPr>
        <w:pStyle w:val="Heading3"/>
      </w:pPr>
      <w:r>
        <w:t xml:space="preserve">Article 4</w:t>
      </w:r>
    </w:p>
    <w:p>
      <w:pPr>
        <w:pStyle w:val="FirstParagraph"/>
      </w:pPr>
      <w:r>
        <w:rPr>
          <w:b/>
          <w:bCs/>
        </w:rPr>
        <w:t xml:space="preserve">Title</w:t>
      </w:r>
      <w:r>
        <w:t xml:space="preserve">:</w:t>
      </w:r>
      <w:r>
        <w:br/>
      </w:r>
      <w:r>
        <w:t xml:space="preserve">PU Regulation and Sustainability: How to Stay Audit-Ready Without Overreacting</w:t>
      </w:r>
    </w:p>
    <w:bookmarkEnd w:id="35"/>
    <w:bookmarkStart w:id="36" w:name="linkedin-posts-3-3"/>
    <w:p>
      <w:pPr>
        <w:pStyle w:val="Heading3"/>
      </w:pPr>
      <w:r>
        <w:t xml:space="preserve">LinkedIn posts (3)</w:t>
      </w:r>
    </w:p>
    <w:p>
      <w:pPr>
        <w:pStyle w:val="Compact"/>
        <w:numPr>
          <w:ilvl w:val="0"/>
          <w:numId w:val="1004"/>
        </w:numPr>
      </w:pPr>
      <w:r>
        <w:t xml:space="preserve">“Compliance risk is rarely sudden. The signals are visible early if you watch the right places.”</w:t>
      </w:r>
    </w:p>
    <w:p>
      <w:pPr>
        <w:pStyle w:val="Compact"/>
        <w:numPr>
          <w:ilvl w:val="0"/>
          <w:numId w:val="1004"/>
        </w:numPr>
      </w:pPr>
      <w:r>
        <w:t xml:space="preserve">“Sustainability claims are marketing until you tie them to product and supply-chain reality.”</w:t>
      </w:r>
    </w:p>
    <w:p>
      <w:pPr>
        <w:pStyle w:val="Compact"/>
        <w:numPr>
          <w:ilvl w:val="0"/>
          <w:numId w:val="1004"/>
        </w:numPr>
      </w:pPr>
      <w:r>
        <w:t xml:space="preserve">“Regulation becomes operational cost when teams discover it late.”</w:t>
      </w:r>
    </w:p>
    <w:p>
      <w:pPr>
        <w:pStyle w:val="FirstParagraph"/>
      </w:pPr>
      <w:r>
        <w:t xml:space="preserve">CTA on all posts: Comment</w:t>
      </w:r>
      <w:r>
        <w:t xml:space="preserve"> </w:t>
      </w:r>
      <w:r>
        <w:rPr>
          <w:b/>
          <w:bCs/>
        </w:rPr>
        <w:t xml:space="preserve">OBSERVATORY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weekly-operating-rhythm"/>
    <w:p>
      <w:pPr>
        <w:pStyle w:val="Heading2"/>
      </w:pPr>
      <w:r>
        <w:t xml:space="preserve">Weekly operating rhythm</w:t>
      </w:r>
    </w:p>
    <w:p>
      <w:pPr>
        <w:pStyle w:val="Compact"/>
        <w:numPr>
          <w:ilvl w:val="0"/>
          <w:numId w:val="1005"/>
        </w:numPr>
      </w:pPr>
      <w:r>
        <w:t xml:space="preserve">Monday: Post 1 (campaign theme)</w:t>
      </w:r>
    </w:p>
    <w:p>
      <w:pPr>
        <w:pStyle w:val="Compact"/>
        <w:numPr>
          <w:ilvl w:val="0"/>
          <w:numId w:val="1005"/>
        </w:numPr>
      </w:pPr>
      <w:r>
        <w:t xml:space="preserve">Wednesday: Post 2 (alternative angle)</w:t>
      </w:r>
    </w:p>
    <w:p>
      <w:pPr>
        <w:pStyle w:val="Compact"/>
        <w:numPr>
          <w:ilvl w:val="0"/>
          <w:numId w:val="1005"/>
        </w:numPr>
      </w:pPr>
      <w:r>
        <w:t xml:space="preserve">Friday: Post 3 (scope or configuration angle)</w:t>
      </w:r>
    </w:p>
    <w:p>
      <w:pPr>
        <w:pStyle w:val="Compact"/>
        <w:numPr>
          <w:ilvl w:val="0"/>
          <w:numId w:val="1005"/>
        </w:numPr>
      </w:pPr>
      <w:r>
        <w:t xml:space="preserve">Daily: respond to comments and send DM 1</w:t>
      </w:r>
    </w:p>
    <w:p>
      <w:pPr>
        <w:pStyle w:val="Compact"/>
        <w:numPr>
          <w:ilvl w:val="0"/>
          <w:numId w:val="1005"/>
        </w:numPr>
      </w:pPr>
      <w:r>
        <w:t xml:space="preserve">Twice per week: send DM 2 to non-responders</w:t>
      </w:r>
    </w:p>
    <w:p>
      <w:r>
        <w:pict>
          <v:rect style="width:0;height:1.5pt" o:hralign="center" o:hrstd="t" o:hr="t"/>
        </w:pict>
      </w:r>
    </w:p>
    <w:bookmarkEnd w:id="38"/>
    <w:bookmarkStart w:id="39" w:name="metrics-to-track"/>
    <w:p>
      <w:pPr>
        <w:pStyle w:val="Heading2"/>
      </w:pPr>
      <w:r>
        <w:t xml:space="preserve">Metrics to track</w:t>
      </w:r>
    </w:p>
    <w:p>
      <w:pPr>
        <w:pStyle w:val="Compact"/>
        <w:numPr>
          <w:ilvl w:val="0"/>
          <w:numId w:val="1006"/>
        </w:numPr>
      </w:pPr>
      <w:r>
        <w:t xml:space="preserve">Comment rate per 1,000 impressions</w:t>
      </w:r>
    </w:p>
    <w:p>
      <w:pPr>
        <w:pStyle w:val="Compact"/>
        <w:numPr>
          <w:ilvl w:val="0"/>
          <w:numId w:val="1006"/>
        </w:numPr>
      </w:pPr>
      <w:r>
        <w:t xml:space="preserve">DM reply rate</w:t>
      </w:r>
    </w:p>
    <w:p>
      <w:pPr>
        <w:pStyle w:val="Compact"/>
        <w:numPr>
          <w:ilvl w:val="0"/>
          <w:numId w:val="1006"/>
        </w:numPr>
      </w:pPr>
      <w:r>
        <w:t xml:space="preserve">Configurator completion rate</w:t>
      </w:r>
    </w:p>
    <w:p>
      <w:pPr>
        <w:pStyle w:val="Compact"/>
        <w:numPr>
          <w:ilvl w:val="0"/>
          <w:numId w:val="1006"/>
        </w:numPr>
      </w:pPr>
      <w:r>
        <w:t xml:space="preserve">Invoice conversion rate</w:t>
      </w:r>
    </w:p>
    <w:p>
      <w:pPr>
        <w:pStyle w:val="Compact"/>
        <w:numPr>
          <w:ilvl w:val="0"/>
          <w:numId w:val="1006"/>
        </w:numPr>
      </w:pPr>
      <w:r>
        <w:t xml:space="preserve">Time from first interaction to paid access</w:t>
      </w:r>
    </w:p>
    <w:p>
      <w:r>
        <w:pict>
          <v:rect style="width:0;height:1.5pt" o:hralign="center" o:hrstd="t" o:hr="t"/>
        </w:pict>
      </w:r>
    </w:p>
    <w:bookmarkEnd w:id="39"/>
    <w:bookmarkStart w:id="40" w:name="positioning-guardrails"/>
    <w:p>
      <w:pPr>
        <w:pStyle w:val="Heading2"/>
      </w:pPr>
      <w:r>
        <w:t xml:space="preserve">Positioning guardrails</w:t>
      </w:r>
    </w:p>
    <w:p>
      <w:pPr>
        <w:pStyle w:val="Compact"/>
        <w:numPr>
          <w:ilvl w:val="0"/>
          <w:numId w:val="1007"/>
        </w:numPr>
      </w:pPr>
      <w:r>
        <w:t xml:space="preserve">Pull logic only</w:t>
      </w:r>
    </w:p>
    <w:p>
      <w:pPr>
        <w:pStyle w:val="Compact"/>
        <w:numPr>
          <w:ilvl w:val="0"/>
          <w:numId w:val="1007"/>
        </w:numPr>
      </w:pPr>
      <w:r>
        <w:t xml:space="preserve">No product feature dumping</w:t>
      </w:r>
    </w:p>
    <w:p>
      <w:pPr>
        <w:pStyle w:val="Compact"/>
        <w:numPr>
          <w:ilvl w:val="0"/>
          <w:numId w:val="1007"/>
        </w:numPr>
      </w:pPr>
      <w:r>
        <w:t xml:space="preserve">No</w:t>
      </w:r>
      <w:r>
        <w:t xml:space="preserve"> </w:t>
      </w:r>
      <w:r>
        <w:t xml:space="preserve">“newsletter”</w:t>
      </w:r>
      <w:r>
        <w:t xml:space="preserve"> </w:t>
      </w:r>
      <w:r>
        <w:t xml:space="preserve">framing</w:t>
      </w:r>
    </w:p>
    <w:p>
      <w:pPr>
        <w:pStyle w:val="Compact"/>
        <w:numPr>
          <w:ilvl w:val="0"/>
          <w:numId w:val="1007"/>
        </w:numPr>
      </w:pPr>
      <w:r>
        <w:t xml:space="preserve">Focus on scope, relevance, and decision support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document is the verbatim campaign baseline for execution.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2025-12-15T11:17:11Z</dcterms:created>
  <dcterms:modified xsi:type="dcterms:W3CDTF">2025-12-15T11:17:11Z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