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6fd0bab0e0bf4738f38c5cbf9cf7c723e3b733"/>
    <w:p>
      <w:pPr>
        <w:pStyle w:val="Heading1"/>
      </w:pPr>
      <w:r>
        <w:t xml:space="preserve">Polyurethane Industry Observatory – Pricing</w:t>
      </w:r>
    </w:p>
    <w:bookmarkStart w:id="20" w:name="pricing-principles"/>
    <w:p>
      <w:pPr>
        <w:pStyle w:val="Heading2"/>
      </w:pPr>
      <w:r>
        <w:t xml:space="preserve">Pricing Principles</w:t>
      </w:r>
    </w:p>
    <w:p>
      <w:pPr>
        <w:pStyle w:val="Compact"/>
        <w:numPr>
          <w:ilvl w:val="0"/>
          <w:numId w:val="1001"/>
        </w:numPr>
      </w:pPr>
      <w:r>
        <w:t xml:space="preserve">Pricing is</w:t>
      </w:r>
      <w:r>
        <w:t xml:space="preserve"> </w:t>
      </w:r>
      <w:r>
        <w:rPr>
          <w:b/>
          <w:bCs/>
        </w:rPr>
        <w:t xml:space="preserve">per user, per month</w:t>
      </w:r>
    </w:p>
    <w:p>
      <w:pPr>
        <w:pStyle w:val="Compact"/>
        <w:numPr>
          <w:ilvl w:val="0"/>
          <w:numId w:val="1001"/>
        </w:numPr>
      </w:pPr>
      <w:r>
        <w:t xml:space="preserve">Cadence reflects</w:t>
      </w:r>
      <w:r>
        <w:t xml:space="preserve"> </w:t>
      </w:r>
      <w:r>
        <w:rPr>
          <w:b/>
          <w:bCs/>
        </w:rPr>
        <w:t xml:space="preserve">depth and urgency</w:t>
      </w:r>
      <w:r>
        <w:t xml:space="preserve">, not raw cost</w:t>
      </w:r>
    </w:p>
    <w:p>
      <w:pPr>
        <w:pStyle w:val="Compact"/>
        <w:numPr>
          <w:ilvl w:val="0"/>
          <w:numId w:val="1001"/>
        </w:numPr>
      </w:pPr>
      <w:r>
        <w:t xml:space="preserve">Scope (companies / regions / value‑chain links) determines the</w:t>
      </w:r>
      <w:r>
        <w:t xml:space="preserve"> </w:t>
      </w:r>
      <w:r>
        <w:rPr>
          <w:b/>
          <w:bCs/>
        </w:rPr>
        <w:t xml:space="preserve">package tier</w:t>
      </w:r>
    </w:p>
    <w:p>
      <w:pPr>
        <w:pStyle w:val="Compact"/>
        <w:numPr>
          <w:ilvl w:val="0"/>
          <w:numId w:val="1001"/>
        </w:numPr>
      </w:pPr>
      <w:r>
        <w:t xml:space="preserve">All plans include access to the full Observatory platform and editorial methodology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Cadence Pricing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Scope Packages</w:t>
            </w:r>
            <w:r>
              <w:t xml:space="preserve"> </w:t>
            </w:r>
            <w:r>
              <w:t xml:space="preserve">Scope defines</w:t>
            </w:r>
            <w:r>
              <w:t xml:space="preserve"> </w:t>
            </w:r>
            <w:r>
              <w:rPr>
                <w:b/>
                <w:bCs/>
              </w:rPr>
              <w:t xml:space="preserve">how much of the PU universe is covered</w:t>
            </w:r>
            <w:r>
              <w:t xml:space="preserve"> </w:t>
            </w:r>
            <w:r>
              <w:t xml:space="preserve">for a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Package | Companies | Regions | Value‑Chain Links |</w:t>
            </w:r>
            <w:r>
              <w:t xml:space="preserve"> </w:t>
            </w:r>
            <w:r>
              <w:t xml:space="preserve">|——-|———–|———|——————|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Starter</w:t>
            </w:r>
            <w:r>
              <w:t xml:space="preserve"> </w:t>
            </w:r>
            <w:r>
              <w:t xml:space="preserve">| Up to 20 | 1 | 1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| Up to 40 | 2 | 2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</w:t>
            </w:r>
            <w:r>
              <w:t xml:space="preserve"> </w:t>
            </w:r>
            <w:r>
              <w:t xml:space="preserve">| Up to 75 | Up to 4 | Up to 4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Enterprise</w:t>
            </w:r>
            <w:r>
              <w:t xml:space="preserve"> </w:t>
            </w:r>
            <w:r>
              <w:t xml:space="preserve">| Custom | Custom | Custom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Value‑chain links include:</w:t>
            </w:r>
            <w:r>
              <w:t xml:space="preserve"> </w:t>
            </w:r>
            <w:r>
              <w:t xml:space="preserve">- Chemical manufacturers</w:t>
            </w:r>
            <w:r>
              <w:t xml:space="preserve"> </w:t>
            </w:r>
            <w:r>
              <w:t xml:space="preserve">- System houses</w:t>
            </w:r>
            <w:r>
              <w:t xml:space="preserve"> </w:t>
            </w:r>
            <w:r>
              <w:t xml:space="preserve">- Foam manufacturers</w:t>
            </w:r>
            <w:r>
              <w:t xml:space="preserve"> </w:t>
            </w:r>
            <w:r>
              <w:t xml:space="preserve">- Converters / moulders</w:t>
            </w:r>
            <w:r>
              <w:t xml:space="preserve"> </w:t>
            </w:r>
            <w:r>
              <w:t xml:space="preserve">- End‑use manufacturers (e.g. mattresses, automotive components)</w:t>
            </w:r>
          </w:p>
        </w:tc>
      </w:tr>
    </w:tbl>
    <w:bookmarkEnd w:id="20"/>
    <w:bookmarkStart w:id="21" w:name="deliverables-included"/>
    <w:p>
      <w:pPr>
        <w:pStyle w:val="Heading2"/>
      </w:pPr>
      <w:r>
        <w:t xml:space="preserve">Deliverables Included</w:t>
      </w:r>
    </w:p>
    <w:p>
      <w:pPr>
        <w:pStyle w:val="FirstParagraph"/>
      </w:pPr>
      <w:r>
        <w:t xml:space="preserve">All plans draw from the Observatory’s structured deliverables, including:</w:t>
      </w:r>
      <w:r>
        <w:t xml:space="preserve"> </w:t>
      </w:r>
      <w:r>
        <w:t xml:space="preserve">- News Digest</w:t>
      </w:r>
      <w:r>
        <w:t xml:space="preserve"> </w:t>
      </w:r>
      <w:r>
        <w:t xml:space="preserve">- Industry Context &amp; Insight</w:t>
      </w:r>
      <w:r>
        <w:t xml:space="preserve"> </w:t>
      </w:r>
      <w:r>
        <w:t xml:space="preserve">- Capacity &amp; Asset Moves</w:t>
      </w:r>
      <w:r>
        <w:t xml:space="preserve"> </w:t>
      </w:r>
      <w:r>
        <w:t xml:space="preserve">- Competitive Developments</w:t>
      </w:r>
      <w:r>
        <w:t xml:space="preserve"> </w:t>
      </w:r>
      <w:r>
        <w:t xml:space="preserve">- Regulation &amp; Sustainability</w:t>
      </w:r>
      <w:r>
        <w:t xml:space="preserve"> </w:t>
      </w:r>
      <w:r>
        <w:t xml:space="preserve">- Executive Briefings (weekly/monthly where applicable)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mix and depth</w:t>
      </w:r>
      <w:r>
        <w:t xml:space="preserve"> </w:t>
      </w:r>
      <w:r>
        <w:t xml:space="preserve">depend on cadence and scope.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Enterprise &amp; Custom Engagements</w:t>
            </w:r>
            <w:r>
              <w:t xml:space="preserve"> </w:t>
            </w:r>
            <w:r>
              <w:t xml:space="preserve">Enterprise subscriptions are tailored for:</w:t>
            </w:r>
            <w:r>
              <w:t xml:space="preserve"> </w:t>
            </w:r>
            <w:r>
              <w:t xml:space="preserve">- Large multi‑region organizations</w:t>
            </w:r>
            <w:r>
              <w:t xml:space="preserve"> </w:t>
            </w:r>
            <w:r>
              <w:t xml:space="preserve">- Cross‑functional teams</w:t>
            </w:r>
            <w:r>
              <w:t xml:space="preserve"> </w:t>
            </w:r>
            <w:r>
              <w:t xml:space="preserve">- Expanded value‑chain coverage</w:t>
            </w:r>
            <w:r>
              <w:t xml:space="preserve"> </w:t>
            </w:r>
            <w:r>
              <w:t xml:space="preserve">- Custom cadence or bespoke briefings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Notes</w:t>
            </w:r>
            <w:r>
              <w:t xml:space="preserve"> </w:t>
            </w:r>
            <w:r>
              <w:t xml:space="preserve">- Annual subscriptions may include preferential pricing</w:t>
            </w:r>
            <w:r>
              <w:t xml:space="preserve"> </w:t>
            </w:r>
            <w:r>
              <w:t xml:space="preserve">- Pilot programs available for qualified organizations</w:t>
            </w:r>
            <w:r>
              <w:t xml:space="preserve"> </w:t>
            </w:r>
            <w:r>
              <w:t xml:space="preserve">- All content is curated and published by</w:t>
            </w:r>
            <w:r>
              <w:t xml:space="preserve"> </w:t>
            </w:r>
            <w:r>
              <w:rPr>
                <w:b/>
                <w:bCs/>
              </w:rPr>
              <w:t xml:space="preserve">Global NewsPilot</w:t>
            </w:r>
            <w:r>
              <w:t xml:space="preserve">, a division of</w:t>
            </w:r>
            <w:r>
              <w:t xml:space="preserve"> </w:t>
            </w:r>
            <w:r>
              <w:rPr>
                <w:b/>
                <w:bCs/>
              </w:rPr>
              <w:t xml:space="preserve">HTC Global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Polyurethane Industry Observatory</w:t>
      </w:r>
      <w:r>
        <w:br/>
      </w:r>
      <w:r>
        <w:rPr>
          <w:i/>
          <w:iCs/>
        </w:rPr>
        <w:t xml:space="preserve">Insights, briefings, and signals across the PU value chain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2025-12-15T02:41:15Z</dcterms:created>
  <dcterms:modified xsi:type="dcterms:W3CDTF">2025-12-15T02:41:15Z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