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Area</w:t>
            </w:r>
          </w:p>
        </w:tc>
        <w:tc>
          <w:tcPr/>
          <w:p>
            <w:pPr>
              <w:pStyle w:val="Compact"/>
            </w:pPr>
            <w:r>
              <w:t xml:space="preserve">What I Generate</w:t>
            </w:r>
          </w:p>
        </w:tc>
        <w:tc>
          <w:tcPr/>
          <w:p>
            <w:pPr>
              <w:pStyle w:val="Compact"/>
            </w:pPr>
            <w:r>
              <w:t xml:space="preserve">Typical Output Format</w:t>
            </w:r>
          </w:p>
        </w:tc>
        <w:tc>
          <w:tcPr/>
          <w:p>
            <w:pPr>
              <w:pStyle w:val="Compact"/>
            </w:pPr>
            <w:r>
              <w:t xml:space="preserve">Example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News Tracking</w:t>
            </w:r>
          </w:p>
        </w:tc>
        <w:tc>
          <w:tcPr/>
          <w:p>
            <w:pPr>
              <w:pStyle w:val="Compact"/>
            </w:pPr>
            <w:r>
              <w:t xml:space="preserve">Latest verified news on PU-relevant companies across the value chain (diisocyanates, polyols, systems, converters)</w:t>
            </w:r>
          </w:p>
        </w:tc>
        <w:tc>
          <w:tcPr/>
          <w:p>
            <w:pPr>
              <w:pStyle w:val="Compact"/>
            </w:pPr>
            <w:r>
              <w:t xml:space="preserve">Structured tables with company, headline, summary, source</w:t>
            </w:r>
          </w:p>
        </w:tc>
        <w:tc>
          <w:tcPr/>
          <w:p>
            <w:pPr>
              <w:pStyle w:val="Compact"/>
            </w:pPr>
            <w:r>
              <w:t xml:space="preserve">Monitor BASF, Covestro, Wanhua, Huntsman developments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Market Monitoring</w:t>
            </w:r>
          </w:p>
        </w:tc>
        <w:tc>
          <w:tcPr/>
          <w:p>
            <w:pPr>
              <w:pStyle w:val="Compact"/>
            </w:pPr>
            <w:r>
              <w:t xml:space="preserve">Aggregated updates by region (EMEA, Middle East, China, NE Asia, SEA, India)</w:t>
            </w:r>
          </w:p>
        </w:tc>
        <w:tc>
          <w:tcPr/>
          <w:p>
            <w:pPr>
              <w:pStyle w:val="Compact"/>
            </w:pPr>
            <w:r>
              <w:t xml:space="preserve">Regional summary + key players + implications</w:t>
            </w:r>
          </w:p>
        </w:tc>
        <w:tc>
          <w:tcPr/>
          <w:p>
            <w:pPr>
              <w:pStyle w:val="Compact"/>
            </w:pPr>
            <w:r>
              <w:t xml:space="preserve">Understand where capacity is growing vs. shrinking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Context &amp; Insight</w:t>
            </w:r>
          </w:p>
        </w:tc>
        <w:tc>
          <w:tcPr/>
          <w:p>
            <w:pPr>
              <w:pStyle w:val="Compact"/>
            </w:pPr>
            <w:r>
              <w:t xml:space="preserve">Interpretation of news: supply/demand impact, margin pressure, trade flow shifts</w:t>
            </w:r>
          </w:p>
        </w:tc>
        <w:tc>
          <w:tcPr/>
          <w:p>
            <w:pPr>
              <w:pStyle w:val="Compact"/>
            </w:pPr>
            <w:r>
              <w:t xml:space="preserve">Insight notes attached to news or regional views</w:t>
            </w:r>
          </w:p>
        </w:tc>
        <w:tc>
          <w:tcPr/>
          <w:p>
            <w:pPr>
              <w:pStyle w:val="Compact"/>
            </w:pPr>
            <w:r>
              <w:t xml:space="preserve">Decide if a plant closure really tightens supply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 Value-Chain Analysis</w:t>
            </w:r>
          </w:p>
        </w:tc>
        <w:tc>
          <w:tcPr/>
          <w:p>
            <w:pPr>
              <w:pStyle w:val="Compact"/>
            </w:pPr>
            <w:r>
              <w:t xml:space="preserve">Analysis by product: MDI, TDI, polyether/polyester polyols, systems, additives</w:t>
            </w:r>
          </w:p>
        </w:tc>
        <w:tc>
          <w:tcPr/>
          <w:p>
            <w:pPr>
              <w:pStyle w:val="Compact"/>
            </w:pPr>
            <w:r>
              <w:t xml:space="preserve">Product-focused briefs and scorecards</w:t>
            </w:r>
          </w:p>
        </w:tc>
        <w:tc>
          <w:tcPr/>
          <w:p>
            <w:pPr>
              <w:pStyle w:val="Compact"/>
            </w:pPr>
            <w:r>
              <w:t xml:space="preserve">Assess risk exposure for specific PU raw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Intelligence</w:t>
            </w:r>
          </w:p>
        </w:tc>
        <w:tc>
          <w:tcPr/>
          <w:p>
            <w:pPr>
              <w:pStyle w:val="Compact"/>
            </w:pPr>
            <w:r>
              <w:t xml:space="preserve">Side-by-side comparison of major producers’ actions and positioning</w:t>
            </w:r>
          </w:p>
        </w:tc>
        <w:tc>
          <w:tcPr/>
          <w:p>
            <w:pPr>
              <w:pStyle w:val="Compact"/>
            </w:pPr>
            <w:r>
              <w:t xml:space="preserve">Comparison tables and competitor maps</w:t>
            </w:r>
          </w:p>
        </w:tc>
        <w:tc>
          <w:tcPr/>
          <w:p>
            <w:pPr>
              <w:pStyle w:val="Compact"/>
            </w:pPr>
            <w:r>
              <w:t xml:space="preserve">Benchmark Covestro vs. BASF vs. Wanhua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Sustainability &amp; Regulation Tracking</w:t>
            </w:r>
          </w:p>
        </w:tc>
        <w:tc>
          <w:tcPr/>
          <w:p>
            <w:pPr>
              <w:pStyle w:val="Compact"/>
            </w:pPr>
            <w:r>
              <w:t xml:space="preserve">Decarbonization projects, low-PCF products, REACH/diisocyanates compliance</w:t>
            </w:r>
          </w:p>
        </w:tc>
        <w:tc>
          <w:tcPr/>
          <w:p>
            <w:pPr>
              <w:pStyle w:val="Compact"/>
            </w:pPr>
            <w:r>
              <w:t xml:space="preserve">Thematic summaries with regulatory relevance</w:t>
            </w:r>
          </w:p>
        </w:tc>
        <w:tc>
          <w:tcPr/>
          <w:p>
            <w:pPr>
              <w:pStyle w:val="Compact"/>
            </w:pPr>
            <w:r>
              <w:t xml:space="preserve">Prepare for customer audits or regulatory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&amp; Asset Moves</w:t>
            </w:r>
          </w:p>
        </w:tc>
        <w:tc>
          <w:tcPr/>
          <w:p>
            <w:pPr>
              <w:pStyle w:val="Compact"/>
            </w:pPr>
            <w:r>
              <w:t xml:space="preserve">New plants, expansions, shutdowns, mothballing, asset sales</w:t>
            </w:r>
          </w:p>
        </w:tc>
        <w:tc>
          <w:tcPr/>
          <w:p>
            <w:pPr>
              <w:pStyle w:val="Compact"/>
            </w:pPr>
            <w:r>
              <w:t xml:space="preserve">Timeline-style tables with capacity context</w:t>
            </w:r>
          </w:p>
        </w:tc>
        <w:tc>
          <w:tcPr/>
          <w:p>
            <w:pPr>
              <w:pStyle w:val="Compact"/>
            </w:pPr>
            <w:r>
              <w:t xml:space="preserve">Anticipate shifts in regional supply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M&amp;A and Partnerships</w:t>
            </w:r>
          </w:p>
        </w:tc>
        <w:tc>
          <w:tcPr/>
          <w:p>
            <w:pPr>
              <w:pStyle w:val="Compact"/>
            </w:pPr>
            <w:r>
              <w:t xml:space="preserve">Acquisitions, JVs, strategic partnerships relevant to PU</w:t>
            </w:r>
          </w:p>
        </w:tc>
        <w:tc>
          <w:tcPr/>
          <w:p>
            <w:pPr>
              <w:pStyle w:val="Compact"/>
            </w:pPr>
            <w:r>
              <w:t xml:space="preserve">Deal summaries with strategic rationale</w:t>
            </w:r>
          </w:p>
        </w:tc>
        <w:tc>
          <w:tcPr/>
          <w:p>
            <w:pPr>
              <w:pStyle w:val="Compact"/>
            </w:pPr>
            <w:r>
              <w:t xml:space="preserve">Understand consolidation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Early-Warning Signals</w:t>
            </w:r>
          </w:p>
        </w:tc>
        <w:tc>
          <w:tcPr/>
          <w:p>
            <w:pPr>
              <w:pStyle w:val="Compact"/>
            </w:pPr>
            <w:r>
              <w:t xml:space="preserve">Subtle indicators (price moves, utilization comments, restructuring language)</w:t>
            </w:r>
          </w:p>
        </w:tc>
        <w:tc>
          <w:tcPr/>
          <w:p>
            <w:pPr>
              <w:pStyle w:val="Compact"/>
            </w:pPr>
            <w:r>
              <w:t xml:space="preserve">Analyst-style flags and watchlists</w:t>
            </w:r>
          </w:p>
        </w:tc>
        <w:tc>
          <w:tcPr/>
          <w:p>
            <w:pPr>
              <w:pStyle w:val="Compact"/>
            </w:pPr>
            <w:r>
              <w:t xml:space="preserve">Spot market turning points 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Alerts &amp; Updates</w:t>
            </w:r>
          </w:p>
        </w:tc>
        <w:tc>
          <w:tcPr/>
          <w:p>
            <w:pPr>
              <w:pStyle w:val="Compact"/>
            </w:pPr>
            <w:r>
              <w:t xml:space="preserve">Tailored daily, weekly, or ad-hoc updates by company, region, or product</w:t>
            </w:r>
          </w:p>
        </w:tc>
        <w:tc>
          <w:tcPr/>
          <w:p>
            <w:pPr>
              <w:pStyle w:val="Compact"/>
            </w:pPr>
            <w:r>
              <w:t xml:space="preserve">Recurring brief format</w:t>
            </w:r>
          </w:p>
        </w:tc>
        <w:tc>
          <w:tcPr/>
          <w:p>
            <w:pPr>
              <w:pStyle w:val="Compact"/>
            </w:pPr>
            <w:r>
              <w:t xml:space="preserve">Receive a weekly PU executive briefing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Executive-Ready Briefings</w:t>
            </w:r>
          </w:p>
        </w:tc>
        <w:tc>
          <w:tcPr/>
          <w:p>
            <w:pPr>
              <w:pStyle w:val="Compact"/>
            </w:pPr>
            <w:r>
              <w:t xml:space="preserve">Condensed, decision-focused summaries</w:t>
            </w:r>
          </w:p>
        </w:tc>
        <w:tc>
          <w:tcPr/>
          <w:p>
            <w:pPr>
              <w:pStyle w:val="Compact"/>
            </w:pPr>
            <w:r>
              <w:t xml:space="preserve">1–2 page briefing or slide-ready bullets</w:t>
            </w:r>
          </w:p>
        </w:tc>
        <w:tc>
          <w:tcPr/>
          <w:p>
            <w:pPr>
              <w:pStyle w:val="Compact"/>
            </w:pPr>
            <w:r>
              <w:t xml:space="preserve">Internal management updates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2025-12-15T02:38:46Z</dcterms:created>
  <dcterms:modified xsi:type="dcterms:W3CDTF">2025-12-15T02:38:46Z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