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481ddc08dd615b0f367aaa4a78b911d7e77ede6"/>
    <w:p>
      <w:pPr>
        <w:pStyle w:val="Heading2"/>
      </w:pPr>
      <w:r>
        <w:t xml:space="preserve">Concept Feedback: PU Intelligence Platform (Streamlit)</w:t>
      </w:r>
    </w:p>
    <w:bookmarkStart w:id="20" w:name="overall-assessment"/>
    <w:p>
      <w:pPr>
        <w:pStyle w:val="Heading3"/>
      </w:pPr>
      <w:r>
        <w:t xml:space="preserve">Overall Assessment</w:t>
      </w:r>
    </w:p>
    <w:p>
      <w:pPr>
        <w:pStyle w:val="FirstParagraph"/>
      </w:pPr>
      <w:r>
        <w:t xml:space="preserve">Building a Streamlit-based PU intelligence tool where users select</w:t>
      </w:r>
      <w:r>
        <w:t xml:space="preserve"> </w:t>
      </w:r>
      <w:r>
        <w:rPr>
          <w:b/>
          <w:bCs/>
        </w:rPr>
        <w:t xml:space="preserve">Capability Areas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companies</w:t>
      </w:r>
      <w:r>
        <w:t xml:space="preserve"> </w:t>
      </w:r>
      <w:r>
        <w:t xml:space="preserve">is a strong, commercially realistic idea. It aligns well with how procurement, strategy, and market-intel teams actually consume information.</w:t>
      </w:r>
    </w:p>
    <w:p>
      <w:pPr>
        <w:pStyle w:val="BodyText"/>
      </w:pPr>
      <w:r>
        <w:t xml:space="preserve">The biggest success factor will be</w:t>
      </w:r>
      <w:r>
        <w:t xml:space="preserve"> </w:t>
      </w:r>
      <w:r>
        <w:rPr>
          <w:b/>
          <w:bCs/>
        </w:rPr>
        <w:t xml:space="preserve">speed to value</w:t>
      </w:r>
      <w:r>
        <w:t xml:space="preserve">: users must get something useful within minutes, not after heavy configuration.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## Product Structure Options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Option B – Predefined Templates (Fast Adoption)</w:t>
            </w:r>
            <w:r>
              <w:t xml:space="preserve"> </w:t>
            </w:r>
            <w:r>
              <w:rPr>
                <w:b/>
                <w:bCs/>
              </w:rPr>
              <w:t xml:space="preserve">Description:</w:t>
            </w:r>
            <w:r>
              <w:t xml:space="preserve"> </w:t>
            </w:r>
            <w:r>
              <w:t xml:space="preserve">Users pick from ready-made intelligence products.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Examples: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“PU Executive Weekly – Global”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“MDI/TDI Supply &amp; Pricing Watch”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“EMEA Restructuring &amp; Closures Tracker”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Pros:</w:t>
            </w:r>
            <w:r>
              <w:t xml:space="preserve"> </w:t>
            </w:r>
            <w:r>
              <w:t xml:space="preserve">- Faster onboarding</w:t>
            </w:r>
            <w:r>
              <w:t xml:space="preserve"> </w:t>
            </w:r>
            <w:r>
              <w:t xml:space="preserve">- Easier sales narrative</w:t>
            </w:r>
            <w:r>
              <w:t xml:space="preserve"> </w:t>
            </w:r>
            <w:r>
              <w:t xml:space="preserve">- Clear value proposition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Recommendation:</w:t>
            </w:r>
            <w:r>
              <w:t xml:space="preserve"> </w:t>
            </w:r>
            <w:r>
              <w:t xml:space="preserve">Make templates the</w:t>
            </w:r>
            <w:r>
              <w:t xml:space="preserve"> </w:t>
            </w:r>
            <w:r>
              <w:rPr>
                <w:b/>
                <w:bCs/>
              </w:rPr>
              <w:t xml:space="preserve">default entry point</w:t>
            </w:r>
            <w:r>
              <w:t xml:space="preserve">.</w:t>
            </w:r>
          </w:p>
        </w:tc>
      </w:tr>
    </w:tbl>
    <w:bookmarkEnd w:id="20"/>
    <w:bookmarkStart w:id="21" w:name="best-practice"/>
    <w:p>
      <w:pPr>
        <w:pStyle w:val="Heading3"/>
      </w:pPr>
      <w:r>
        <w:t xml:space="preserve">Best Practice</w:t>
      </w:r>
    </w:p>
    <w:p>
      <w:pPr>
        <w:pStyle w:val="FirstParagraph"/>
      </w:pPr>
      <w:r>
        <w:rPr>
          <w:b/>
          <w:bCs/>
        </w:rPr>
        <w:t xml:space="preserve">Combine both:</w:t>
      </w:r>
      <w:r>
        <w:t xml:space="preserve"> </w:t>
      </w:r>
      <w:r>
        <w:t xml:space="preserve">templates first, customization second.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## Pricing: The</w:t>
            </w:r>
            <w:r>
              <w:t xml:space="preserve"> </w:t>
            </w:r>
            <w:r>
              <w:t xml:space="preserve">‘Can’t-Refuse’</w:t>
            </w:r>
            <w:r>
              <w:t xml:space="preserve"> </w:t>
            </w: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Tier 2 – Pro / Team (Sweet Spot)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$299–$499 per month</w:t>
            </w:r>
            <w:r>
              <w:t xml:space="preserve"> </w:t>
            </w:r>
            <w:r>
              <w:t xml:space="preserve">(up to 5 users)</w:t>
            </w:r>
            <w:r>
              <w:t xml:space="preserve"> </w:t>
            </w:r>
            <w:r>
              <w:t xml:space="preserve">- 2–3 templates</w:t>
            </w:r>
            <w:r>
              <w:t xml:space="preserve"> </w:t>
            </w:r>
            <w:r>
              <w:t xml:space="preserve">- 30–75 companies</w:t>
            </w:r>
            <w:r>
              <w:t xml:space="preserve"> </w:t>
            </w:r>
            <w:r>
              <w:t xml:space="preserve">- Daily digest + weekly summary</w:t>
            </w:r>
            <w:r>
              <w:t xml:space="preserve"> </w:t>
            </w:r>
            <w:r>
              <w:t xml:space="preserve">- Email + dashboard delivery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Why it works:</w:t>
            </w:r>
            <w:r>
              <w:t xml:space="preserve"> </w:t>
            </w:r>
            <w:r>
              <w:t xml:space="preserve">Costs less than one internal analyst day; strong perceived ROI.</w:t>
            </w:r>
          </w:p>
        </w:tc>
      </w:tr>
    </w:tbl>
    <w:bookmarkEnd w:id="21"/>
    <w:bookmarkStart w:id="22" w:name="tier-3-enterprise-entry"/>
    <w:p>
      <w:pPr>
        <w:pStyle w:val="Heading3"/>
      </w:pPr>
      <w:r>
        <w:t xml:space="preserve">Tier 3 – Enterprise Entry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$4,800–$9,600 per year</w:t>
      </w:r>
    </w:p>
    <w:p>
      <w:pPr>
        <w:pStyle w:val="Compact"/>
        <w:numPr>
          <w:ilvl w:val="0"/>
          <w:numId w:val="1001"/>
        </w:numPr>
      </w:pPr>
      <w:r>
        <w:t xml:space="preserve">10–25 users</w:t>
      </w:r>
    </w:p>
    <w:p>
      <w:pPr>
        <w:pStyle w:val="Compact"/>
        <w:numPr>
          <w:ilvl w:val="0"/>
          <w:numId w:val="1001"/>
        </w:numPr>
      </w:pPr>
      <w:r>
        <w:t xml:space="preserve">Full template library</w:t>
      </w:r>
    </w:p>
    <w:p>
      <w:pPr>
        <w:pStyle w:val="Compact"/>
        <w:numPr>
          <w:ilvl w:val="0"/>
          <w:numId w:val="1001"/>
        </w:numPr>
      </w:pPr>
      <w:r>
        <w:t xml:space="preserve">Alerts + export</w:t>
      </w:r>
    </w:p>
    <w:p>
      <w:pPr>
        <w:pStyle w:val="Compact"/>
        <w:numPr>
          <w:ilvl w:val="0"/>
          <w:numId w:val="1001"/>
        </w:numPr>
      </w:pPr>
      <w:r>
        <w:t xml:space="preserve">Optional SSO / onboarding</w:t>
      </w:r>
    </w:p>
    <w:p>
      <w:pPr>
        <w:pStyle w:val="FirstParagraph"/>
      </w:pPr>
      <w:r>
        <w:rPr>
          <w:b/>
          <w:bCs/>
        </w:rPr>
        <w:t xml:space="preserve">Why it works:</w:t>
      </w:r>
      <w:r>
        <w:t xml:space="preserve"> </w:t>
      </w:r>
      <w:r>
        <w:t xml:space="preserve">Positioned as</w:t>
      </w:r>
      <w:r>
        <w:t xml:space="preserve"> </w:t>
      </w:r>
      <w:r>
        <w:t xml:space="preserve">“cheap”</w:t>
      </w:r>
      <w:r>
        <w:t xml:space="preserve"> </w:t>
      </w:r>
      <w:r>
        <w:t xml:space="preserve">compared to traditional market intelligence subscriptions.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## Pilot Offer (High Conversion)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 Guarantees &amp; Wording (Important)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Avoid promising</w:t>
            </w:r>
            <w:r>
              <w:t xml:space="preserve"> </w:t>
            </w:r>
            <w:r>
              <w:t xml:space="preserve">“news volume.”</w:t>
            </w:r>
            <w:r>
              <w:t xml:space="preserve"> </w:t>
            </w:r>
            <w:r>
              <w:t xml:space="preserve">Instead: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“Scheduled briefing delivered on cadence”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“Alerting based on predefined triggers”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“No material changes”</w:t>
            </w:r>
            <w:r>
              <w:t xml:space="preserve"> </w:t>
            </w:r>
            <w:r>
              <w:t xml:space="preserve">is a valid report 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avoids edge cases during quiet periods.</w:t>
            </w:r>
          </w:p>
        </w:tc>
      </w:tr>
    </w:tbl>
    <w:bookmarkEnd w:id="22"/>
    <w:bookmarkEnd w:id="23"/>
    <w:bookmarkStart w:id="24" w:name="key-success-factors"/>
    <w:p>
      <w:pPr>
        <w:pStyle w:val="Heading2"/>
      </w:pPr>
      <w:r>
        <w:t xml:space="preserve">Key Success Factors</w:t>
      </w:r>
    </w:p>
    <w:p>
      <w:pPr>
        <w:pStyle w:val="Compact"/>
        <w:numPr>
          <w:ilvl w:val="0"/>
          <w:numId w:val="1002"/>
        </w:numPr>
      </w:pPr>
      <w:r>
        <w:t xml:space="preserve">Strong default templates</w:t>
      </w:r>
    </w:p>
    <w:p>
      <w:pPr>
        <w:pStyle w:val="Compact"/>
        <w:numPr>
          <w:ilvl w:val="0"/>
          <w:numId w:val="1002"/>
        </w:numPr>
      </w:pPr>
      <w:r>
        <w:t xml:space="preserve">Clear linkage to time saved</w:t>
      </w:r>
    </w:p>
    <w:p>
      <w:pPr>
        <w:pStyle w:val="Compact"/>
        <w:numPr>
          <w:ilvl w:val="0"/>
          <w:numId w:val="1002"/>
        </w:numPr>
      </w:pPr>
      <w:r>
        <w:t xml:space="preserve">Simple cancellation for Pro tier</w:t>
      </w:r>
    </w:p>
    <w:p>
      <w:pPr>
        <w:pStyle w:val="Compact"/>
        <w:numPr>
          <w:ilvl w:val="0"/>
          <w:numId w:val="1002"/>
        </w:numPr>
      </w:pPr>
      <w:r>
        <w:t xml:space="preserve">Outcome-driven messaging (decisions, not headlines)</w:t>
      </w:r>
    </w:p>
    <w:p>
      <w:r>
        <w:pict>
          <v:rect style="width:0;height:1.5pt" o:hralign="center" o:hrstd="t" o:hr="t"/>
        </w:pict>
      </w:r>
    </w:p>
    <w:bookmarkEnd w:id="24"/>
    <w:bookmarkStart w:id="25" w:name="next-logical-steps"/>
    <w:p>
      <w:pPr>
        <w:pStyle w:val="Heading2"/>
      </w:pPr>
      <w:r>
        <w:t xml:space="preserve">Next Logical Steps</w:t>
      </w:r>
    </w:p>
    <w:p>
      <w:pPr>
        <w:pStyle w:val="Compact"/>
        <w:numPr>
          <w:ilvl w:val="0"/>
          <w:numId w:val="1003"/>
        </w:numPr>
      </w:pPr>
      <w:r>
        <w:t xml:space="preserve">Define 5–7 core templates</w:t>
      </w:r>
    </w:p>
    <w:p>
      <w:pPr>
        <w:pStyle w:val="Compact"/>
        <w:numPr>
          <w:ilvl w:val="0"/>
          <w:numId w:val="1003"/>
        </w:numPr>
      </w:pPr>
      <w:r>
        <w:t xml:space="preserve">Decide primary buyer persona (producer, systems house, converter, distributor)</w:t>
      </w:r>
    </w:p>
    <w:p>
      <w:pPr>
        <w:pStyle w:val="Compact"/>
        <w:numPr>
          <w:ilvl w:val="0"/>
          <w:numId w:val="1003"/>
        </w:numPr>
      </w:pPr>
      <w:r>
        <w:t xml:space="preserve">Validate price sensitivity with 5–10 target users</w:t>
      </w:r>
    </w:p>
    <w:p>
      <w:pPr>
        <w:pStyle w:val="FirstParagraph"/>
      </w:pPr>
      <w:r>
        <w:t xml:space="preserve">This structure is commercially sound and scalable if execution stays focused on clarity and speed to insight.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2025-12-15T02:40:15Z</dcterms:created>
  <dcterms:modified xsi:type="dcterms:W3CDTF">2025-12-15T02:40:15Z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