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pu-observatory-summary"/>
    <w:p>
      <w:pPr>
        <w:pStyle w:val="Heading1"/>
      </w:pPr>
      <w:r>
        <w:t xml:space="preserve">PU Observatory Summary</w:t>
      </w:r>
    </w:p>
    <w:bookmarkStart w:id="20" w:name="product-vision"/>
    <w:p>
      <w:pPr>
        <w:pStyle w:val="Heading2"/>
      </w:pPr>
      <w:r>
        <w:t xml:space="preserve">1. Product Vision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Polyurethane Industry Observatory</w:t>
      </w:r>
      <w:r>
        <w:t xml:space="preserve"> </w:t>
      </w:r>
      <w:r>
        <w:t xml:space="preserve">is a structured PU industry intelligence system — not a newsletter and not a pricing service. It delivers curated, repeatable</w:t>
      </w:r>
      <w:r>
        <w:t xml:space="preserve"> </w:t>
      </w:r>
      <w:r>
        <w:rPr>
          <w:b/>
          <w:bCs/>
        </w:rPr>
        <w:t xml:space="preserve">insights, briefings, and signals</w:t>
      </w:r>
      <w:r>
        <w:t xml:space="preserve"> </w:t>
      </w:r>
      <w:r>
        <w:t xml:space="preserve">across the</w:t>
      </w:r>
      <w:r>
        <w:t xml:space="preserve"> </w:t>
      </w:r>
      <w:r>
        <w:rPr>
          <w:b/>
          <w:bCs/>
        </w:rPr>
        <w:t xml:space="preserve">entire polyurethane value chain</w:t>
      </w:r>
      <w:r>
        <w:t xml:space="preserve">, on a defined cadence.</w:t>
      </w:r>
    </w:p>
    <w:p>
      <w:pPr>
        <w:pStyle w:val="BodyText"/>
      </w:pPr>
      <w:r>
        <w:t xml:space="preserve">The product is designed for decision-makers who need clarity, not noise.</w:t>
      </w:r>
    </w:p>
    <w:tbl>
      <w:tblPr>
        <w:tblStyle w:val="Table"/>
        <w:tblW w:type="pct" w:w="278"/>
        <w:tblLayout w:type="fixed"/>
        <w:tblLook w:firstRow="1" w:lastRow="0" w:firstColumn="0" w:lastColumn="0" w:noHBand="0" w:noVBand="0" w:val="0020"/>
      </w:tblPr>
      <w:tblGrid>
        <w:gridCol w:w="4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## 2. Core Product Logic</w:t>
            </w:r>
            <w:r>
              <w:t xml:space="preserve"> </w:t>
            </w:r>
            <w:r>
              <w:t xml:space="preserve">The product is built around three user-controlled dimensions:</w:t>
            </w:r>
          </w:p>
        </w:tc>
      </w:tr>
      <w:tr>
        <w:tc>
          <w:tcPr/>
          <w:p>
            <w:pPr>
              <w:pStyle w:val="Compact"/>
            </w:pPr>
            <w:r>
              <w:t xml:space="preserve">## 3. Deliverables (All 11)</w:t>
            </w:r>
            <w:r>
              <w:t xml:space="preserve"> </w:t>
            </w:r>
            <w:r>
              <w:t xml:space="preserve">We will keep the full set of</w:t>
            </w:r>
            <w:r>
              <w:t xml:space="preserve"> </w:t>
            </w:r>
            <w:r>
              <w:rPr>
                <w:b/>
                <w:bCs/>
              </w:rPr>
              <w:t xml:space="preserve">11 deliverables</w:t>
            </w:r>
            <w:r>
              <w:t xml:space="preserve"> </w:t>
            </w:r>
            <w:r>
              <w:t xml:space="preserve">originally defined for the Observatory: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</w:t>
            </w:r>
            <w:r>
              <w:t xml:space="preserve"> </w:t>
            </w:r>
            <w:r>
              <w:rPr>
                <w:b/>
                <w:bCs/>
              </w:rPr>
              <w:t xml:space="preserve">Company News Tracking</w:t>
            </w:r>
            <w:r>
              <w:t xml:space="preserve"> </w:t>
            </w:r>
            <w:r>
              <w:t xml:space="preserve">2.</w:t>
            </w:r>
            <w:r>
              <w:t xml:space="preserve"> </w:t>
            </w:r>
            <w:r>
              <w:rPr>
                <w:b/>
                <w:bCs/>
              </w:rPr>
              <w:t xml:space="preserve">Regional Market Monitoring</w:t>
            </w:r>
            <w:r>
              <w:t xml:space="preserve"> </w:t>
            </w:r>
            <w:r>
              <w:t xml:space="preserve">3.</w:t>
            </w:r>
            <w:r>
              <w:t xml:space="preserve"> </w:t>
            </w:r>
            <w:r>
              <w:rPr>
                <w:b/>
                <w:bCs/>
              </w:rPr>
              <w:t xml:space="preserve">Industry Context &amp; Insight</w:t>
            </w:r>
            <w:r>
              <w:t xml:space="preserve"> </w:t>
            </w:r>
            <w:r>
              <w:t xml:space="preserve">4.</w:t>
            </w:r>
            <w:r>
              <w:t xml:space="preserve"> </w:t>
            </w:r>
            <w:r>
              <w:rPr>
                <w:b/>
                <w:bCs/>
              </w:rPr>
              <w:t xml:space="preserve">PU Value-Chain Analysis</w:t>
            </w:r>
            <w:r>
              <w:t xml:space="preserve"> </w:t>
            </w:r>
            <w:r>
              <w:t xml:space="preserve">5.</w:t>
            </w:r>
            <w:r>
              <w:t xml:space="preserve"> </w:t>
            </w:r>
            <w:r>
              <w:rPr>
                <w:b/>
                <w:bCs/>
              </w:rPr>
              <w:t xml:space="preserve">Competitive Intelligence</w:t>
            </w:r>
            <w:r>
              <w:t xml:space="preserve"> </w:t>
            </w:r>
            <w:r>
              <w:t xml:space="preserve">6.</w:t>
            </w:r>
            <w:r>
              <w:t xml:space="preserve"> </w:t>
            </w:r>
            <w:r>
              <w:rPr>
                <w:b/>
                <w:bCs/>
              </w:rPr>
              <w:t xml:space="preserve">Sustainability &amp; Regulation Tracking</w:t>
            </w:r>
            <w:r>
              <w:t xml:space="preserve"> </w:t>
            </w:r>
            <w:r>
              <w:t xml:space="preserve">7.</w:t>
            </w:r>
            <w:r>
              <w:t xml:space="preserve"> </w:t>
            </w:r>
            <w:r>
              <w:rPr>
                <w:b/>
                <w:bCs/>
              </w:rPr>
              <w:t xml:space="preserve">Capacity &amp; Asset Moves</w:t>
            </w:r>
            <w:r>
              <w:t xml:space="preserve"> </w:t>
            </w:r>
            <w:r>
              <w:t xml:space="preserve">8.</w:t>
            </w:r>
            <w:r>
              <w:t xml:space="preserve"> </w:t>
            </w:r>
            <w:r>
              <w:rPr>
                <w:b/>
                <w:bCs/>
              </w:rPr>
              <w:t xml:space="preserve">M&amp;A and Partnerships</w:t>
            </w:r>
            <w:r>
              <w:t xml:space="preserve"> </w:t>
            </w:r>
            <w:r>
              <w:t xml:space="preserve">9.</w:t>
            </w:r>
            <w:r>
              <w:t xml:space="preserve"> </w:t>
            </w:r>
            <w:r>
              <w:rPr>
                <w:b/>
                <w:bCs/>
              </w:rPr>
              <w:t xml:space="preserve">Early-Warning Signals</w:t>
            </w:r>
            <w:r>
              <w:t xml:space="preserve"> </w:t>
            </w:r>
            <w:r>
              <w:t xml:space="preserve">10.</w:t>
            </w:r>
            <w:r>
              <w:t xml:space="preserve"> </w:t>
            </w:r>
            <w:r>
              <w:rPr>
                <w:b/>
                <w:bCs/>
              </w:rPr>
              <w:t xml:space="preserve">Custom Alerts &amp; Updates</w:t>
            </w:r>
            <w:r>
              <w:t xml:space="preserve"> </w:t>
            </w:r>
            <w:r>
              <w:t xml:space="preserve">11.</w:t>
            </w:r>
            <w:r>
              <w:t xml:space="preserve"> </w:t>
            </w:r>
            <w:r>
              <w:rPr>
                <w:b/>
                <w:bCs/>
              </w:rPr>
              <w:t xml:space="preserve">Executive-Ready Briefings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These deliverables cover detection (news), interpretation (context), decision support (competitive/capacity/M&amp;A), governance (regulatory), and delivery formats (alerts/briefings).</w:t>
            </w:r>
          </w:p>
        </w:tc>
      </w:tr>
    </w:tbl>
    <w:bookmarkEnd w:id="20"/>
    <w:bookmarkStart w:id="21" w:name="pu-value-chain-definition"/>
    <w:p>
      <w:pPr>
        <w:pStyle w:val="Heading2"/>
      </w:pPr>
      <w:r>
        <w:t xml:space="preserve">4. PU Value Chain Definition</w:t>
      </w:r>
    </w:p>
    <w:p>
      <w:pPr>
        <w:pStyle w:val="FirstParagraph"/>
      </w:pPr>
      <w:r>
        <w:t xml:space="preserve">Value-chain links are defined by</w:t>
      </w:r>
      <w:r>
        <w:t xml:space="preserve"> </w:t>
      </w:r>
      <w:r>
        <w:rPr>
          <w:b/>
          <w:bCs/>
        </w:rPr>
        <w:t xml:space="preserve">roles in the PU ecosystem</w:t>
      </w:r>
      <w:r>
        <w:t xml:space="preserve">, with two clarifications: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Moulders are included under foam manufacturers</w:t>
      </w:r>
      <w:r>
        <w:t xml:space="preserve"> </w:t>
      </w:r>
      <w:r>
        <w:t xml:space="preserve">(they produce PU foam components)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Chemical manufacturers</w:t>
      </w:r>
      <w:r>
        <w:t xml:space="preserve"> </w:t>
      </w:r>
      <w:r>
        <w:t xml:space="preserve">refers to</w:t>
      </w:r>
      <w:r>
        <w:t xml:space="preserve"> </w:t>
      </w:r>
      <w:r>
        <w:rPr>
          <w:b/>
          <w:bCs/>
        </w:rPr>
        <w:t xml:space="preserve">all chemicals needed in PU materials</w:t>
      </w:r>
      <w:r>
        <w:t xml:space="preserve"> </w:t>
      </w:r>
      <w:r>
        <w:t xml:space="preserve">(not only isocyanates/polyols)</w:t>
      </w:r>
    </w:p>
    <w:p>
      <w:pPr>
        <w:pStyle w:val="BodyText"/>
      </w:pPr>
      <w:r>
        <w:t xml:space="preserve">Value-chain links: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Chemical manufacturers</w:t>
      </w:r>
      <w:r>
        <w:t xml:space="preserve"> </w:t>
      </w:r>
      <w:r>
        <w:t xml:space="preserve">(all PU-relevant chemicals)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System houses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Foam manufacturers</w:t>
      </w:r>
      <w:r>
        <w:t xml:space="preserve"> </w:t>
      </w:r>
      <w:r>
        <w:t xml:space="preserve">(including moulders producing foam components)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Converters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End-use manufacturers</w:t>
      </w:r>
      <w:r>
        <w:t xml:space="preserve"> </w:t>
      </w:r>
      <w:r>
        <w:t xml:space="preserve">(e.g., mattresses, automotive seating/components)</w:t>
      </w:r>
    </w:p>
    <w:tbl>
      <w:tblPr>
        <w:tblStyle w:val="Table"/>
        <w:tblW w:type="pct" w:w="278"/>
        <w:tblLayout w:type="fixed"/>
        <w:tblLook w:firstRow="1" w:lastRow="0" w:firstColumn="0" w:lastColumn="0" w:noHBand="0" w:noVBand="0" w:val="0020"/>
      </w:tblPr>
      <w:tblGrid>
        <w:gridCol w:w="4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## 5. Scope Configuration (Key Differentiator)</w:t>
            </w:r>
            <w:r>
              <w:t xml:space="preserve"> </w:t>
            </w:r>
            <w:r>
              <w:t xml:space="preserve">Users configure scope by selecting:</w:t>
            </w:r>
            <w:r>
              <w:t xml:space="preserve"> </w:t>
            </w:r>
            <w:r>
              <w:t xml:space="preserve">- Companies</w:t>
            </w:r>
            <w:r>
              <w:t xml:space="preserve"> </w:t>
            </w:r>
            <w:r>
              <w:t xml:space="preserve">- Regions</w:t>
            </w:r>
            <w:r>
              <w:t xml:space="preserve"> </w:t>
            </w:r>
            <w:r>
              <w:t xml:space="preserve">- Value-chain links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## 6. Cadence &amp; Pricing (Final)</w:t>
            </w:r>
            <w:r>
              <w:t xml:space="preserve"> </w:t>
            </w:r>
            <w:r>
              <w:t xml:space="preserve">Pricing is</w:t>
            </w:r>
            <w:r>
              <w:t xml:space="preserve"> </w:t>
            </w:r>
            <w:r>
              <w:rPr>
                <w:b/>
                <w:bCs/>
              </w:rPr>
              <w:t xml:space="preserve">per user, per month</w:t>
            </w:r>
            <w:r>
              <w:t xml:space="preserve">, with cadence reflecting urgency and depth.</w:t>
            </w:r>
          </w:p>
        </w:tc>
      </w:tr>
      <w:tr>
        <w:tc>
          <w:tcPr/>
          <w:p>
            <w:pPr>
              <w:pStyle w:val="Compact"/>
            </w:pPr>
            <w:r>
              <w:t xml:space="preserve">| Cadence | Price (USD / user / month) |</w:t>
            </w:r>
            <w:r>
              <w:t xml:space="preserve"> </w:t>
            </w:r>
            <w:r>
              <w:t xml:space="preserve">|——-|—————————-|</w:t>
            </w:r>
            <w:r>
              <w:t xml:space="preserve"> </w:t>
            </w:r>
            <w:r>
              <w:t xml:space="preserve">| Monthly | $19 |</w:t>
            </w:r>
            <w:r>
              <w:t xml:space="preserve"> </w:t>
            </w:r>
            <w:r>
              <w:t xml:space="preserve">| Weekly | $39 |</w:t>
            </w:r>
            <w:r>
              <w:t xml:space="preserve"> </w:t>
            </w:r>
            <w:r>
              <w:t xml:space="preserve">| Daily | $119 |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Cadence pricing is a value lever, not cost-driven.</w:t>
            </w:r>
          </w:p>
        </w:tc>
      </w:tr>
    </w:tbl>
    <w:bookmarkEnd w:id="21"/>
    <w:bookmarkStart w:id="22" w:name="cost-model-economics-simplified"/>
    <w:p>
      <w:pPr>
        <w:pStyle w:val="Heading2"/>
      </w:pPr>
      <w:r>
        <w:t xml:space="preserve">7. Cost Model &amp; Economics (Simplified)</w:t>
      </w:r>
    </w:p>
    <w:p>
      <w:pPr>
        <w:pStyle w:val="FirstParagraph"/>
      </w:pPr>
      <w:r>
        <w:t xml:space="preserve">Assumptions:</w:t>
      </w:r>
      <w:r>
        <w:t xml:space="preserve"> </w:t>
      </w:r>
      <w:r>
        <w:t xml:space="preserve">- OpenAI cost: $0.50 per report</w:t>
      </w:r>
      <w:r>
        <w:t xml:space="preserve"> </w:t>
      </w:r>
      <w:r>
        <w:t xml:space="preserve">- Fixed internal tools: $45/month (shared across all users)</w:t>
      </w:r>
      <w:r>
        <w:t xml:space="preserve"> </w:t>
      </w:r>
      <w:r>
        <w:t xml:space="preserve">- One internal seat</w:t>
      </w:r>
    </w:p>
    <w:p>
      <w:pPr>
        <w:pStyle w:val="BodyText"/>
      </w:pPr>
      <w:r>
        <w:t xml:space="preserve">Key outcomes:</w:t>
      </w:r>
      <w:r>
        <w:t xml:space="preserve"> </w:t>
      </w:r>
      <w:r>
        <w:t xml:space="preserve">- Worst-case break-even:</w:t>
      </w:r>
      <w:r>
        <w:t xml:space="preserve"> </w:t>
      </w:r>
      <w:r>
        <w:rPr>
          <w:b/>
          <w:bCs/>
        </w:rPr>
        <w:t xml:space="preserve">3 monthly users</w:t>
      </w:r>
      <w:r>
        <w:t xml:space="preserve"> </w:t>
      </w:r>
      <w:r>
        <w:t xml:space="preserve">- Costs drop rapidly as users scale</w:t>
      </w:r>
      <w:r>
        <w:t xml:space="preserve"> </w:t>
      </w:r>
      <w:r>
        <w:t xml:space="preserve">- Monthly operating cost remains stable regardless of cadence mix</w:t>
      </w:r>
    </w:p>
    <w:tbl>
      <w:tblPr>
        <w:tblStyle w:val="Table"/>
        <w:tblW w:type="pct" w:w="278"/>
        <w:tblLayout w:type="fixed"/>
        <w:tblLook w:firstRow="1" w:lastRow="0" w:firstColumn="0" w:lastColumn="0" w:noHBand="0" w:noVBand="0" w:val="0020"/>
      </w:tblPr>
      <w:tblGrid>
        <w:gridCol w:w="4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## 8. Profit Targets &amp; Subscription Mix</w:t>
            </w:r>
            <w:r>
              <w:t xml:space="preserve"> </w:t>
            </w:r>
            <w:r>
              <w:t xml:space="preserve">Contribution margins (before fixed cost):</w:t>
            </w:r>
            <w:r>
              <w:t xml:space="preserve"> </w:t>
            </w:r>
            <w:r>
              <w:t xml:space="preserve">- Monthly: $18.50</w:t>
            </w:r>
            <w:r>
              <w:t xml:space="preserve"> </w:t>
            </w:r>
            <w:r>
              <w:t xml:space="preserve">- Weekly: $36.83</w:t>
            </w:r>
            <w:r>
              <w:t xml:space="preserve"> </w:t>
            </w:r>
            <w:r>
              <w:t xml:space="preserve">- Daily: $104.00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## 9. Sales Model &amp; Growth Assumptions</w:t>
            </w:r>
            <w:r>
              <w:t xml:space="preserve"> </w:t>
            </w:r>
            <w:r>
              <w:t xml:space="preserve">Constraints:</w:t>
            </w:r>
            <w:r>
              <w:t xml:space="preserve"> </w:t>
            </w:r>
            <w:r>
              <w:t xml:space="preserve">- Max 10 approaches/day</w:t>
            </w:r>
            <w:r>
              <w:t xml:space="preserve"> </w:t>
            </w:r>
            <w:r>
              <w:t xml:space="preserve">- Primarily warm network + careful LinkedIn use</w:t>
            </w:r>
            <w:r>
              <w:t xml:space="preserve"> </w:t>
            </w:r>
            <w:r>
              <w:t xml:space="preserve">- Reachable population: 3,000–4,000 people</w:t>
            </w:r>
            <w:r>
              <w:t xml:space="preserve"> </w:t>
            </w:r>
            <w:r>
              <w:t xml:space="preserve">- Conversion rate (approach → paid): ~2%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Resulting dynamics:</w:t>
            </w:r>
            <w:r>
              <w:t xml:space="preserve"> </w:t>
            </w:r>
            <w:r>
              <w:t xml:space="preserve">- ~217 approaches/month</w:t>
            </w:r>
            <w:r>
              <w:t xml:space="preserve"> </w:t>
            </w:r>
            <w:r>
              <w:t xml:space="preserve">- ~4–5 new subscribers/month</w:t>
            </w:r>
            <w:r>
              <w:t xml:space="preserve"> </w:t>
            </w:r>
            <w:r>
              <w:t xml:space="preserve">- ~$196 new monthly recurring profit added per month (average mix)</w:t>
            </w:r>
          </w:p>
        </w:tc>
      </w:tr>
    </w:tbl>
    <w:bookmarkEnd w:id="22"/>
    <w:bookmarkStart w:id="23" w:name="timeline-to-first-target"/>
    <w:p>
      <w:pPr>
        <w:pStyle w:val="Heading2"/>
      </w:pPr>
      <w:r>
        <w:t xml:space="preserve">10. Timeline to First Target</w:t>
      </w:r>
    </w:p>
    <w:p>
      <w:pPr>
        <w:pStyle w:val="Compact"/>
        <w:numPr>
          <w:ilvl w:val="0"/>
          <w:numId w:val="1001"/>
        </w:numPr>
      </w:pPr>
      <w:r>
        <w:t xml:space="preserve">~$1,000/month profit reached around</w:t>
      </w:r>
      <w:r>
        <w:t xml:space="preserve"> </w:t>
      </w:r>
      <w:r>
        <w:rPr>
          <w:b/>
          <w:bCs/>
        </w:rPr>
        <w:t xml:space="preserve">month 6</w:t>
      </w:r>
    </w:p>
    <w:p>
      <w:pPr>
        <w:pStyle w:val="Compact"/>
        <w:numPr>
          <w:ilvl w:val="0"/>
          <w:numId w:val="1001"/>
        </w:numPr>
      </w:pPr>
      <w:r>
        <w:t xml:space="preserve">~$2,000+/month profit around</w:t>
      </w:r>
      <w:r>
        <w:t xml:space="preserve"> </w:t>
      </w:r>
      <w:r>
        <w:rPr>
          <w:b/>
          <w:bCs/>
        </w:rPr>
        <w:t xml:space="preserve">months 10–12</w:t>
      </w:r>
    </w:p>
    <w:p>
      <w:pPr>
        <w:pStyle w:val="Compact"/>
        <w:numPr>
          <w:ilvl w:val="0"/>
          <w:numId w:val="1001"/>
        </w:numPr>
      </w:pPr>
      <w:r>
        <w:t xml:space="preserve">Achieved without network saturation</w:t>
      </w:r>
    </w:p>
    <w:tbl>
      <w:tblPr>
        <w:tblStyle w:val="Table"/>
        <w:tblW w:type="pct" w:w="278"/>
        <w:tblLayout w:type="fixed"/>
        <w:tblLook w:firstRow="0" w:lastRow="0" w:firstColumn="0" w:lastColumn="0" w:noHBand="0" w:noVBand="0" w:val="0000"/>
      </w:tblPr>
      <w:tblGrid>
        <w:gridCol w:w="440"/>
      </w:tblGrid>
      <w:tr>
        <w:tc>
          <w:tcPr/>
          <w:p>
            <w:pPr>
              <w:pStyle w:val="Compact"/>
            </w:pPr>
            <w:r>
              <w:t xml:space="preserve">## 11. Brand &amp; Positioning</w:t>
            </w:r>
            <w:r>
              <w:t xml:space="preserve"> </w:t>
            </w:r>
            <w:r>
              <w:rPr>
                <w:b/>
                <w:bCs/>
              </w:rPr>
              <w:t xml:space="preserve">Product name:</w:t>
            </w:r>
            <w:r>
              <w:t xml:space="preserve"> </w:t>
            </w:r>
            <w:r>
              <w:rPr>
                <w:b/>
                <w:bCs/>
              </w:rPr>
              <w:t xml:space="preserve">Polyurethane Industry Observatory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Tagline:</w:t>
            </w:r>
            <w:r>
              <w:t xml:space="preserve"> </w:t>
            </w:r>
            <w:r>
              <w:rPr>
                <w:i/>
                <w:iCs/>
              </w:rPr>
              <w:t xml:space="preserve">Insights, briefings, and signals across the PU value chain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Positioning:</w:t>
            </w:r>
            <w:r>
              <w:t xml:space="preserve"> </w:t>
            </w:r>
            <w:r>
              <w:t xml:space="preserve">- Institutional</w:t>
            </w:r>
            <w:r>
              <w:t xml:space="preserve"> </w:t>
            </w:r>
            <w:r>
              <w:t xml:space="preserve">- Editorial + analytical</w:t>
            </w:r>
            <w:r>
              <w:t xml:space="preserve"> </w:t>
            </w:r>
            <w:r>
              <w:t xml:space="preserve">- Distinct from newsletters and pricing intelligence services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Publisher:</w:t>
            </w:r>
            <w:r>
              <w:t xml:space="preserve"> </w:t>
            </w:r>
            <w:r>
              <w:t xml:space="preserve">Curated and published by</w:t>
            </w:r>
            <w:r>
              <w:t xml:space="preserve"> </w:t>
            </w:r>
            <w:r>
              <w:rPr>
                <w:b/>
                <w:bCs/>
              </w:rPr>
              <w:t xml:space="preserve">Global NewsPilot</w:t>
            </w:r>
            <w:r>
              <w:t xml:space="preserve">, a division of</w:t>
            </w:r>
            <w:r>
              <w:t xml:space="preserve"> </w:t>
            </w:r>
            <w:r>
              <w:rPr>
                <w:b/>
                <w:bCs/>
              </w:rPr>
              <w:t xml:space="preserve">HTC Global</w:t>
            </w:r>
          </w:p>
        </w:tc>
      </w:tr>
    </w:tbl>
    <w:bookmarkEnd w:id="23"/>
    <w:bookmarkStart w:id="24" w:name="strategic-status"/>
    <w:p>
      <w:pPr>
        <w:pStyle w:val="Heading2"/>
      </w:pPr>
      <w:r>
        <w:t xml:space="preserve">12. Strategic Status</w:t>
      </w:r>
    </w:p>
    <w:p>
      <w:pPr>
        <w:pStyle w:val="FirstParagraph"/>
      </w:pPr>
      <w:r>
        <w:t xml:space="preserve">At this stage, the project has:</w:t>
      </w:r>
      <w:r>
        <w:t xml:space="preserve"> </w:t>
      </w:r>
      <w:r>
        <w:t xml:space="preserve">- A defined product architecture</w:t>
      </w:r>
      <w:r>
        <w:t xml:space="preserve"> </w:t>
      </w:r>
      <w:r>
        <w:t xml:space="preserve">- Clear pricing and economics</w:t>
      </w:r>
      <w:r>
        <w:t xml:space="preserve"> </w:t>
      </w:r>
      <w:r>
        <w:t xml:space="preserve">- A credible go-to-market model</w:t>
      </w:r>
      <w:r>
        <w:t xml:space="preserve"> </w:t>
      </w:r>
      <w:r>
        <w:t xml:space="preserve">- A durable institutional brand</w:t>
      </w:r>
    </w:p>
    <w:p>
      <w:pPr>
        <w:pStyle w:val="BodyText"/>
      </w:pPr>
      <w:r>
        <w:t xml:space="preserve">Remaining future work includes UI implementation, onboarding flows, content operations, and scale strategy.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2025-12-15T02:41:41Z</dcterms:created>
  <dcterms:modified xsi:type="dcterms:W3CDTF">2025-12-15T02:41:41Z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