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B1A8" w14:textId="77777777" w:rsidR="00EA0ACB" w:rsidRPr="00EA0ACB" w:rsidRDefault="00EA0ACB" w:rsidP="00EA0ACB">
      <w:pPr>
        <w:rPr>
          <w:lang w:val="en-001"/>
        </w:rPr>
      </w:pPr>
      <w:r w:rsidRPr="00EA0ACB">
        <w:rPr>
          <w:lang w:val="en-001"/>
        </w:rPr>
        <w:t>The feasibility analysis on a potential anti-dumping complaint against mattress imports from China into the EU contains extensive quantitative data that can support the SVP report. Here are the key data points that can be extracted:</w:t>
      </w:r>
    </w:p>
    <w:p w14:paraId="6ECE3838" w14:textId="77777777" w:rsidR="00EA0ACB" w:rsidRPr="00EA0ACB" w:rsidRDefault="00EA0ACB" w:rsidP="00EA0ACB">
      <w:pPr>
        <w:numPr>
          <w:ilvl w:val="0"/>
          <w:numId w:val="1"/>
        </w:numPr>
        <w:rPr>
          <w:lang w:val="en-001"/>
        </w:rPr>
      </w:pPr>
      <w:r w:rsidRPr="00EA0ACB">
        <w:rPr>
          <w:b/>
          <w:bCs/>
          <w:lang w:val="en-001"/>
        </w:rPr>
        <w:t>Import Statistics</w:t>
      </w:r>
    </w:p>
    <w:p w14:paraId="784FB367" w14:textId="77777777" w:rsidR="00EA0ACB" w:rsidRPr="00EA0ACB" w:rsidRDefault="00EA0ACB" w:rsidP="00EA0ACB">
      <w:pPr>
        <w:numPr>
          <w:ilvl w:val="1"/>
          <w:numId w:val="1"/>
        </w:numPr>
        <w:rPr>
          <w:lang w:val="en-001"/>
        </w:rPr>
      </w:pPr>
      <w:r w:rsidRPr="00EA0ACB">
        <w:rPr>
          <w:lang w:val="en-001"/>
        </w:rPr>
        <w:t xml:space="preserve">Chinese imports of </w:t>
      </w:r>
      <w:r w:rsidRPr="00EA0ACB">
        <w:rPr>
          <w:b/>
          <w:bCs/>
          <w:lang w:val="en-001"/>
        </w:rPr>
        <w:t>spring interior mattresses</w:t>
      </w:r>
      <w:r w:rsidRPr="00EA0ACB">
        <w:rPr>
          <w:lang w:val="en-001"/>
        </w:rPr>
        <w:t xml:space="preserve"> increased by </w:t>
      </w:r>
      <w:r w:rsidRPr="00EA0ACB">
        <w:rPr>
          <w:b/>
          <w:bCs/>
          <w:lang w:val="en-001"/>
        </w:rPr>
        <w:t>137%</w:t>
      </w:r>
      <w:r w:rsidRPr="00EA0ACB">
        <w:rPr>
          <w:lang w:val="en-001"/>
        </w:rPr>
        <w:t xml:space="preserve"> from 2020 to the investigation period (IP).</w:t>
      </w:r>
    </w:p>
    <w:p w14:paraId="24A26863" w14:textId="77777777" w:rsidR="00EA0ACB" w:rsidRPr="00EA0ACB" w:rsidRDefault="00EA0ACB" w:rsidP="00EA0ACB">
      <w:pPr>
        <w:numPr>
          <w:ilvl w:val="1"/>
          <w:numId w:val="1"/>
        </w:numPr>
        <w:rPr>
          <w:lang w:val="en-001"/>
        </w:rPr>
      </w:pPr>
      <w:r w:rsidRPr="00EA0ACB">
        <w:rPr>
          <w:lang w:val="en-001"/>
        </w:rPr>
        <w:t xml:space="preserve">Chinese imports of </w:t>
      </w:r>
      <w:r w:rsidRPr="00EA0ACB">
        <w:rPr>
          <w:b/>
          <w:bCs/>
          <w:lang w:val="en-001"/>
        </w:rPr>
        <w:t>cellular plastics mattresses</w:t>
      </w:r>
      <w:r w:rsidRPr="00EA0ACB">
        <w:rPr>
          <w:lang w:val="en-001"/>
        </w:rPr>
        <w:t xml:space="preserve"> increased by </w:t>
      </w:r>
      <w:r w:rsidRPr="00EA0ACB">
        <w:rPr>
          <w:b/>
          <w:bCs/>
          <w:lang w:val="en-001"/>
        </w:rPr>
        <w:t>56%</w:t>
      </w:r>
      <w:r w:rsidRPr="00EA0ACB">
        <w:rPr>
          <w:lang w:val="en-001"/>
        </w:rPr>
        <w:t xml:space="preserve"> in the same period.</w:t>
      </w:r>
    </w:p>
    <w:p w14:paraId="058B5C16" w14:textId="77777777" w:rsidR="00EA0ACB" w:rsidRPr="00EA0ACB" w:rsidRDefault="00EA0ACB" w:rsidP="00EA0ACB">
      <w:pPr>
        <w:numPr>
          <w:ilvl w:val="1"/>
          <w:numId w:val="1"/>
        </w:numPr>
        <w:rPr>
          <w:lang w:val="en-001"/>
        </w:rPr>
      </w:pPr>
      <w:r w:rsidRPr="00EA0ACB">
        <w:rPr>
          <w:lang w:val="en-001"/>
        </w:rPr>
        <w:t xml:space="preserve">Imports from China represented </w:t>
      </w:r>
      <w:r w:rsidRPr="00EA0ACB">
        <w:rPr>
          <w:b/>
          <w:bCs/>
          <w:lang w:val="en-001"/>
        </w:rPr>
        <w:t>52%</w:t>
      </w:r>
      <w:r w:rsidRPr="00EA0ACB">
        <w:rPr>
          <w:lang w:val="en-001"/>
        </w:rPr>
        <w:t xml:space="preserve"> of total mattress imports into the EU during the IP, with </w:t>
      </w:r>
      <w:r w:rsidRPr="00EA0ACB">
        <w:rPr>
          <w:b/>
          <w:bCs/>
          <w:lang w:val="en-001"/>
        </w:rPr>
        <w:t>Turkey contributing 24%</w:t>
      </w:r>
      <w:r w:rsidRPr="00EA0ACB">
        <w:rPr>
          <w:lang w:val="en-001"/>
        </w:rPr>
        <w:t xml:space="preserve"> and </w:t>
      </w:r>
      <w:r w:rsidRPr="00EA0ACB">
        <w:rPr>
          <w:b/>
          <w:bCs/>
          <w:lang w:val="en-001"/>
        </w:rPr>
        <w:t>Serbia 6%</w:t>
      </w:r>
      <w:r w:rsidRPr="00EA0ACB">
        <w:rPr>
          <w:lang w:val="en-001"/>
        </w:rPr>
        <w:t>.</w:t>
      </w:r>
    </w:p>
    <w:p w14:paraId="4E585B5C" w14:textId="77777777" w:rsidR="00EA0ACB" w:rsidRPr="00EA0ACB" w:rsidRDefault="00EA0ACB" w:rsidP="00EA0ACB">
      <w:pPr>
        <w:numPr>
          <w:ilvl w:val="1"/>
          <w:numId w:val="1"/>
        </w:numPr>
        <w:rPr>
          <w:lang w:val="en-001"/>
        </w:rPr>
      </w:pPr>
      <w:r w:rsidRPr="00EA0ACB">
        <w:rPr>
          <w:lang w:val="en-001"/>
        </w:rPr>
        <w:t xml:space="preserve">The EU mattress consumption </w:t>
      </w:r>
      <w:r w:rsidRPr="00EA0ACB">
        <w:rPr>
          <w:b/>
          <w:bCs/>
          <w:lang w:val="en-001"/>
        </w:rPr>
        <w:t>declined by 16% between 2020 and 2023</w:t>
      </w:r>
      <w:r w:rsidRPr="00EA0ACB">
        <w:rPr>
          <w:lang w:val="en-001"/>
        </w:rPr>
        <w:t>, making the growing share of Chinese imports more significant.</w:t>
      </w:r>
    </w:p>
    <w:p w14:paraId="2EB5A812" w14:textId="77777777" w:rsidR="00EA0ACB" w:rsidRPr="00EA0ACB" w:rsidRDefault="00EA0ACB" w:rsidP="00EA0ACB">
      <w:pPr>
        <w:numPr>
          <w:ilvl w:val="0"/>
          <w:numId w:val="1"/>
        </w:numPr>
        <w:rPr>
          <w:lang w:val="en-001"/>
        </w:rPr>
      </w:pPr>
      <w:r w:rsidRPr="00EA0ACB">
        <w:rPr>
          <w:b/>
          <w:bCs/>
          <w:lang w:val="en-001"/>
        </w:rPr>
        <w:t>Price Analysis</w:t>
      </w:r>
    </w:p>
    <w:p w14:paraId="09FD979B" w14:textId="77777777" w:rsidR="00EA0ACB" w:rsidRPr="00EA0ACB" w:rsidRDefault="00EA0ACB" w:rsidP="00EA0ACB">
      <w:pPr>
        <w:numPr>
          <w:ilvl w:val="1"/>
          <w:numId w:val="1"/>
        </w:numPr>
        <w:rPr>
          <w:lang w:val="en-001"/>
        </w:rPr>
      </w:pPr>
      <w:r w:rsidRPr="00EA0ACB">
        <w:rPr>
          <w:lang w:val="en-001"/>
        </w:rPr>
        <w:t xml:space="preserve">Chinese mattress </w:t>
      </w:r>
      <w:proofErr w:type="gramStart"/>
      <w:r w:rsidRPr="00EA0ACB">
        <w:rPr>
          <w:lang w:val="en-001"/>
        </w:rPr>
        <w:t>import</w:t>
      </w:r>
      <w:proofErr w:type="gramEnd"/>
      <w:r w:rsidRPr="00EA0ACB">
        <w:rPr>
          <w:lang w:val="en-001"/>
        </w:rPr>
        <w:t xml:space="preserve"> prices </w:t>
      </w:r>
      <w:r w:rsidRPr="00EA0ACB">
        <w:rPr>
          <w:b/>
          <w:bCs/>
          <w:lang w:val="en-001"/>
        </w:rPr>
        <w:t>declined by 13% from 2021 to the IP</w:t>
      </w:r>
      <w:r w:rsidRPr="00EA0ACB">
        <w:rPr>
          <w:lang w:val="en-001"/>
        </w:rPr>
        <w:t>.</w:t>
      </w:r>
    </w:p>
    <w:p w14:paraId="60ADB959" w14:textId="77777777" w:rsidR="00EA0ACB" w:rsidRPr="00EA0ACB" w:rsidRDefault="00EA0ACB" w:rsidP="00EA0ACB">
      <w:pPr>
        <w:numPr>
          <w:ilvl w:val="1"/>
          <w:numId w:val="1"/>
        </w:numPr>
        <w:rPr>
          <w:lang w:val="en-001"/>
        </w:rPr>
      </w:pPr>
      <w:r w:rsidRPr="00EA0ACB">
        <w:rPr>
          <w:lang w:val="en-001"/>
        </w:rPr>
        <w:t xml:space="preserve">Between 2023 and the IP, Chinese import volumes increased </w:t>
      </w:r>
      <w:r w:rsidRPr="00EA0ACB">
        <w:rPr>
          <w:b/>
          <w:bCs/>
          <w:lang w:val="en-001"/>
        </w:rPr>
        <w:t>by 25%</w:t>
      </w:r>
      <w:r w:rsidRPr="00EA0ACB">
        <w:rPr>
          <w:lang w:val="en-001"/>
        </w:rPr>
        <w:t xml:space="preserve">, while prices </w:t>
      </w:r>
      <w:r w:rsidRPr="00EA0ACB">
        <w:rPr>
          <w:b/>
          <w:bCs/>
          <w:lang w:val="en-001"/>
        </w:rPr>
        <w:t>fell by another 5%</w:t>
      </w:r>
      <w:r w:rsidRPr="00EA0ACB">
        <w:rPr>
          <w:lang w:val="en-001"/>
        </w:rPr>
        <w:t>.</w:t>
      </w:r>
    </w:p>
    <w:p w14:paraId="03AC7356" w14:textId="77777777" w:rsidR="00EA0ACB" w:rsidRPr="00EA0ACB" w:rsidRDefault="00EA0ACB" w:rsidP="00EA0ACB">
      <w:pPr>
        <w:numPr>
          <w:ilvl w:val="1"/>
          <w:numId w:val="1"/>
        </w:numPr>
        <w:rPr>
          <w:lang w:val="en-001"/>
        </w:rPr>
      </w:pPr>
      <w:r w:rsidRPr="00EA0ACB">
        <w:rPr>
          <w:lang w:val="en-001"/>
        </w:rPr>
        <w:t xml:space="preserve">Turkish imports, while lower in volume, exerted </w:t>
      </w:r>
      <w:r w:rsidRPr="00EA0ACB">
        <w:rPr>
          <w:b/>
          <w:bCs/>
          <w:lang w:val="en-001"/>
        </w:rPr>
        <w:t>strong price pressure</w:t>
      </w:r>
      <w:r w:rsidRPr="00EA0ACB">
        <w:rPr>
          <w:lang w:val="en-001"/>
        </w:rPr>
        <w:t>, aligning with Chinese prices by 2023.</w:t>
      </w:r>
    </w:p>
    <w:p w14:paraId="09D16238" w14:textId="77777777" w:rsidR="00EA0ACB" w:rsidRPr="00EA0ACB" w:rsidRDefault="00EA0ACB" w:rsidP="00EA0ACB">
      <w:pPr>
        <w:numPr>
          <w:ilvl w:val="0"/>
          <w:numId w:val="1"/>
        </w:numPr>
        <w:rPr>
          <w:lang w:val="en-001"/>
        </w:rPr>
      </w:pPr>
      <w:r w:rsidRPr="00EA0ACB">
        <w:rPr>
          <w:b/>
          <w:bCs/>
          <w:lang w:val="en-001"/>
        </w:rPr>
        <w:t>Production and Sales Volumes in the EU</w:t>
      </w:r>
    </w:p>
    <w:p w14:paraId="40B1A5C2" w14:textId="77777777" w:rsidR="00EA0ACB" w:rsidRPr="00EA0ACB" w:rsidRDefault="00EA0ACB" w:rsidP="00EA0ACB">
      <w:pPr>
        <w:numPr>
          <w:ilvl w:val="1"/>
          <w:numId w:val="1"/>
        </w:numPr>
        <w:rPr>
          <w:lang w:val="en-001"/>
        </w:rPr>
      </w:pPr>
      <w:r w:rsidRPr="00EA0ACB">
        <w:rPr>
          <w:lang w:val="en-001"/>
        </w:rPr>
        <w:t xml:space="preserve">Companies categorized into three groups based on exposure to Chinese imports: </w:t>
      </w:r>
    </w:p>
    <w:p w14:paraId="7A30CBC7" w14:textId="77777777" w:rsidR="00EA0ACB" w:rsidRPr="00EA0ACB" w:rsidRDefault="00EA0ACB" w:rsidP="00EA0ACB">
      <w:pPr>
        <w:numPr>
          <w:ilvl w:val="2"/>
          <w:numId w:val="1"/>
        </w:numPr>
        <w:rPr>
          <w:lang w:val="en-001"/>
        </w:rPr>
      </w:pPr>
      <w:r w:rsidRPr="00EA0ACB">
        <w:rPr>
          <w:b/>
          <w:bCs/>
          <w:lang w:val="en-001"/>
        </w:rPr>
        <w:t>Category A:</w:t>
      </w:r>
      <w:r w:rsidRPr="00EA0ACB">
        <w:rPr>
          <w:lang w:val="en-001"/>
        </w:rPr>
        <w:t xml:space="preserve"> Sheltered by long-term contracts with large retailers, showing little injury.</w:t>
      </w:r>
    </w:p>
    <w:p w14:paraId="3D069C5C" w14:textId="77777777" w:rsidR="00EA0ACB" w:rsidRPr="00EA0ACB" w:rsidRDefault="00EA0ACB" w:rsidP="00EA0ACB">
      <w:pPr>
        <w:numPr>
          <w:ilvl w:val="2"/>
          <w:numId w:val="1"/>
        </w:numPr>
        <w:rPr>
          <w:lang w:val="en-001"/>
        </w:rPr>
      </w:pPr>
      <w:r w:rsidRPr="00EA0ACB">
        <w:rPr>
          <w:b/>
          <w:bCs/>
          <w:lang w:val="en-001"/>
        </w:rPr>
        <w:t>Category B:</w:t>
      </w:r>
      <w:r w:rsidRPr="00EA0ACB">
        <w:rPr>
          <w:lang w:val="en-001"/>
        </w:rPr>
        <w:t xml:space="preserve"> Mixed sales, experiencing a </w:t>
      </w:r>
      <w:r w:rsidRPr="00EA0ACB">
        <w:rPr>
          <w:b/>
          <w:bCs/>
          <w:lang w:val="en-001"/>
        </w:rPr>
        <w:t>15%-25% drop</w:t>
      </w:r>
      <w:r w:rsidRPr="00EA0ACB">
        <w:rPr>
          <w:lang w:val="en-001"/>
        </w:rPr>
        <w:t xml:space="preserve"> in production and sales.</w:t>
      </w:r>
    </w:p>
    <w:p w14:paraId="41A9540E" w14:textId="77777777" w:rsidR="00EA0ACB" w:rsidRPr="00EA0ACB" w:rsidRDefault="00EA0ACB" w:rsidP="00EA0ACB">
      <w:pPr>
        <w:numPr>
          <w:ilvl w:val="2"/>
          <w:numId w:val="1"/>
        </w:numPr>
        <w:rPr>
          <w:lang w:val="en-001"/>
        </w:rPr>
      </w:pPr>
      <w:r w:rsidRPr="00EA0ACB">
        <w:rPr>
          <w:b/>
          <w:bCs/>
          <w:lang w:val="en-001"/>
        </w:rPr>
        <w:t>Category C:</w:t>
      </w:r>
      <w:r w:rsidRPr="00EA0ACB">
        <w:rPr>
          <w:lang w:val="en-001"/>
        </w:rPr>
        <w:t xml:space="preserve"> </w:t>
      </w:r>
      <w:proofErr w:type="gramStart"/>
      <w:r w:rsidRPr="00EA0ACB">
        <w:rPr>
          <w:lang w:val="en-001"/>
        </w:rPr>
        <w:t>Online-focused</w:t>
      </w:r>
      <w:proofErr w:type="gramEnd"/>
      <w:r w:rsidRPr="00EA0ACB">
        <w:rPr>
          <w:lang w:val="en-001"/>
        </w:rPr>
        <w:t xml:space="preserve">, suffering </w:t>
      </w:r>
      <w:r w:rsidRPr="00EA0ACB">
        <w:rPr>
          <w:b/>
          <w:bCs/>
          <w:lang w:val="en-001"/>
        </w:rPr>
        <w:t>up to 40% declines</w:t>
      </w:r>
      <w:r w:rsidRPr="00EA0ACB">
        <w:rPr>
          <w:lang w:val="en-001"/>
        </w:rPr>
        <w:t xml:space="preserve"> in production and sales.</w:t>
      </w:r>
    </w:p>
    <w:p w14:paraId="180A86BD" w14:textId="77777777" w:rsidR="00EA0ACB" w:rsidRPr="00EA0ACB" w:rsidRDefault="00EA0ACB" w:rsidP="00EA0ACB">
      <w:pPr>
        <w:numPr>
          <w:ilvl w:val="1"/>
          <w:numId w:val="1"/>
        </w:numPr>
        <w:rPr>
          <w:lang w:val="en-001"/>
        </w:rPr>
      </w:pPr>
      <w:r w:rsidRPr="00EA0ACB">
        <w:rPr>
          <w:lang w:val="en-001"/>
        </w:rPr>
        <w:t xml:space="preserve">The </w:t>
      </w:r>
      <w:r w:rsidRPr="00EA0ACB">
        <w:rPr>
          <w:b/>
          <w:bCs/>
          <w:lang w:val="en-001"/>
        </w:rPr>
        <w:t>decline in EU mattress production and sales coincided with the surge in Chinese imports</w:t>
      </w:r>
      <w:r w:rsidRPr="00EA0ACB">
        <w:rPr>
          <w:lang w:val="en-001"/>
        </w:rPr>
        <w:t>, demonstrating a strong causal link.</w:t>
      </w:r>
    </w:p>
    <w:p w14:paraId="66DFB87B" w14:textId="77777777" w:rsidR="00EA0ACB" w:rsidRPr="00EA0ACB" w:rsidRDefault="00EA0ACB" w:rsidP="00EA0ACB">
      <w:pPr>
        <w:numPr>
          <w:ilvl w:val="0"/>
          <w:numId w:val="1"/>
        </w:numPr>
        <w:rPr>
          <w:lang w:val="en-001"/>
        </w:rPr>
      </w:pPr>
      <w:r w:rsidRPr="00EA0ACB">
        <w:rPr>
          <w:b/>
          <w:bCs/>
          <w:lang w:val="en-001"/>
        </w:rPr>
        <w:t>Profitability and Costs</w:t>
      </w:r>
    </w:p>
    <w:p w14:paraId="2FB52CE3" w14:textId="77777777" w:rsidR="00EA0ACB" w:rsidRPr="00EA0ACB" w:rsidRDefault="00EA0ACB" w:rsidP="00EA0ACB">
      <w:pPr>
        <w:numPr>
          <w:ilvl w:val="1"/>
          <w:numId w:val="1"/>
        </w:numPr>
        <w:rPr>
          <w:lang w:val="en-001"/>
        </w:rPr>
      </w:pPr>
      <w:r w:rsidRPr="00EA0ACB">
        <w:rPr>
          <w:b/>
          <w:bCs/>
          <w:lang w:val="en-001"/>
        </w:rPr>
        <w:t>EU mattress manufacturers' production costs rose between 2022 and 2023</w:t>
      </w:r>
      <w:r w:rsidRPr="00EA0ACB">
        <w:rPr>
          <w:lang w:val="en-001"/>
        </w:rPr>
        <w:t xml:space="preserve"> but decreased during the IP.</w:t>
      </w:r>
    </w:p>
    <w:p w14:paraId="5487D103" w14:textId="77777777" w:rsidR="00EA0ACB" w:rsidRPr="00EA0ACB" w:rsidRDefault="00EA0ACB" w:rsidP="00EA0ACB">
      <w:pPr>
        <w:numPr>
          <w:ilvl w:val="1"/>
          <w:numId w:val="1"/>
        </w:numPr>
        <w:rPr>
          <w:lang w:val="en-001"/>
        </w:rPr>
      </w:pPr>
      <w:r w:rsidRPr="00EA0ACB">
        <w:rPr>
          <w:lang w:val="en-001"/>
        </w:rPr>
        <w:t xml:space="preserve">Despite falling production and sales, </w:t>
      </w:r>
      <w:r w:rsidRPr="00EA0ACB">
        <w:rPr>
          <w:b/>
          <w:bCs/>
          <w:lang w:val="en-001"/>
        </w:rPr>
        <w:t>profitability remained positive</w:t>
      </w:r>
      <w:r w:rsidRPr="00EA0ACB">
        <w:rPr>
          <w:lang w:val="en-001"/>
        </w:rPr>
        <w:t xml:space="preserve">, raising concerns that some companies may not have fully accounted for </w:t>
      </w:r>
      <w:r w:rsidRPr="00EA0ACB">
        <w:rPr>
          <w:b/>
          <w:bCs/>
          <w:lang w:val="en-001"/>
        </w:rPr>
        <w:t>idle costs</w:t>
      </w:r>
      <w:r w:rsidRPr="00EA0ACB">
        <w:rPr>
          <w:lang w:val="en-001"/>
        </w:rPr>
        <w:t xml:space="preserve"> related to underutilized capacity.</w:t>
      </w:r>
    </w:p>
    <w:p w14:paraId="796A440A" w14:textId="77777777" w:rsidR="00EA0ACB" w:rsidRPr="00EA0ACB" w:rsidRDefault="00EA0ACB" w:rsidP="00EA0ACB">
      <w:pPr>
        <w:numPr>
          <w:ilvl w:val="1"/>
          <w:numId w:val="1"/>
        </w:numPr>
        <w:rPr>
          <w:lang w:val="en-001"/>
        </w:rPr>
      </w:pPr>
      <w:r w:rsidRPr="00EA0ACB">
        <w:rPr>
          <w:lang w:val="en-001"/>
        </w:rPr>
        <w:t xml:space="preserve">Adjusting for idle costs may show </w:t>
      </w:r>
      <w:r w:rsidRPr="00EA0ACB">
        <w:rPr>
          <w:b/>
          <w:bCs/>
          <w:lang w:val="en-001"/>
        </w:rPr>
        <w:t>lower-than-reported profit margins</w:t>
      </w:r>
      <w:r w:rsidRPr="00EA0ACB">
        <w:rPr>
          <w:lang w:val="en-001"/>
        </w:rPr>
        <w:t xml:space="preserve"> for impacted companies.</w:t>
      </w:r>
    </w:p>
    <w:p w14:paraId="7CC13FAC" w14:textId="77777777" w:rsidR="00EA0ACB" w:rsidRPr="00EA0ACB" w:rsidRDefault="00EA0ACB" w:rsidP="00EA0ACB">
      <w:pPr>
        <w:numPr>
          <w:ilvl w:val="0"/>
          <w:numId w:val="1"/>
        </w:numPr>
        <w:rPr>
          <w:lang w:val="en-001"/>
        </w:rPr>
      </w:pPr>
      <w:r w:rsidRPr="00EA0ACB">
        <w:rPr>
          <w:b/>
          <w:bCs/>
          <w:lang w:val="en-001"/>
        </w:rPr>
        <w:lastRenderedPageBreak/>
        <w:t>Dumping and Market Distortions in China</w:t>
      </w:r>
    </w:p>
    <w:p w14:paraId="1CB4960F" w14:textId="77777777" w:rsidR="00EA0ACB" w:rsidRPr="00EA0ACB" w:rsidRDefault="00EA0ACB" w:rsidP="00EA0ACB">
      <w:pPr>
        <w:numPr>
          <w:ilvl w:val="1"/>
          <w:numId w:val="1"/>
        </w:numPr>
        <w:rPr>
          <w:lang w:val="en-001"/>
        </w:rPr>
      </w:pPr>
      <w:r w:rsidRPr="00EA0ACB">
        <w:rPr>
          <w:lang w:val="en-001"/>
        </w:rPr>
        <w:t xml:space="preserve">Chinese manufacturers benefit from </w:t>
      </w:r>
      <w:r w:rsidRPr="00EA0ACB">
        <w:rPr>
          <w:b/>
          <w:bCs/>
          <w:lang w:val="en-001"/>
        </w:rPr>
        <w:t>state subsidies, low-cost inputs, and government intervention in key raw materials</w:t>
      </w:r>
      <w:r w:rsidRPr="00EA0ACB">
        <w:rPr>
          <w:lang w:val="en-001"/>
        </w:rPr>
        <w:t xml:space="preserve"> like polyurethane and steel.</w:t>
      </w:r>
    </w:p>
    <w:p w14:paraId="56ED7891" w14:textId="77777777" w:rsidR="00EA0ACB" w:rsidRPr="00EA0ACB" w:rsidRDefault="00EA0ACB" w:rsidP="00EA0ACB">
      <w:pPr>
        <w:numPr>
          <w:ilvl w:val="1"/>
          <w:numId w:val="1"/>
        </w:numPr>
        <w:rPr>
          <w:lang w:val="en-001"/>
        </w:rPr>
      </w:pPr>
      <w:r w:rsidRPr="00EA0ACB">
        <w:rPr>
          <w:lang w:val="en-001"/>
        </w:rPr>
        <w:t xml:space="preserve">The report identifies </w:t>
      </w:r>
      <w:r w:rsidRPr="00EA0ACB">
        <w:rPr>
          <w:b/>
          <w:bCs/>
          <w:lang w:val="en-001"/>
        </w:rPr>
        <w:t>export subsidies, tax reductions, land-use discounts, and energy price controls</w:t>
      </w:r>
      <w:r w:rsidRPr="00EA0ACB">
        <w:rPr>
          <w:lang w:val="en-001"/>
        </w:rPr>
        <w:t xml:space="preserve"> supporting Chinese manufacturers.</w:t>
      </w:r>
    </w:p>
    <w:p w14:paraId="6F373893" w14:textId="77777777" w:rsidR="00EA0ACB" w:rsidRPr="00EA0ACB" w:rsidRDefault="00EA0ACB" w:rsidP="00EA0ACB">
      <w:pPr>
        <w:numPr>
          <w:ilvl w:val="1"/>
          <w:numId w:val="1"/>
        </w:numPr>
        <w:rPr>
          <w:lang w:val="en-001"/>
        </w:rPr>
      </w:pPr>
      <w:r w:rsidRPr="00EA0ACB">
        <w:rPr>
          <w:lang w:val="en-001"/>
        </w:rPr>
        <w:t xml:space="preserve">The </w:t>
      </w:r>
      <w:r w:rsidRPr="00EA0ACB">
        <w:rPr>
          <w:b/>
          <w:bCs/>
          <w:lang w:val="en-001"/>
        </w:rPr>
        <w:t>EU Commission's "significant distortions methodology"</w:t>
      </w:r>
      <w:r w:rsidRPr="00EA0ACB">
        <w:rPr>
          <w:lang w:val="en-001"/>
        </w:rPr>
        <w:t xml:space="preserve"> is expected to be applied in a potential anti-dumping case, likely leading to high dumping margins.</w:t>
      </w:r>
    </w:p>
    <w:p w14:paraId="348260CE" w14:textId="77777777" w:rsidR="00EA0ACB" w:rsidRPr="00EA0ACB" w:rsidRDefault="00EA0ACB" w:rsidP="00EA0ACB">
      <w:pPr>
        <w:numPr>
          <w:ilvl w:val="0"/>
          <w:numId w:val="1"/>
        </w:numPr>
        <w:rPr>
          <w:lang w:val="en-001"/>
        </w:rPr>
      </w:pPr>
      <w:r w:rsidRPr="00EA0ACB">
        <w:rPr>
          <w:b/>
          <w:bCs/>
          <w:lang w:val="en-001"/>
        </w:rPr>
        <w:t>Union Interest Considerations</w:t>
      </w:r>
    </w:p>
    <w:p w14:paraId="08C88CFD" w14:textId="77777777" w:rsidR="00EA0ACB" w:rsidRPr="00EA0ACB" w:rsidRDefault="00EA0ACB" w:rsidP="00EA0ACB">
      <w:pPr>
        <w:numPr>
          <w:ilvl w:val="1"/>
          <w:numId w:val="1"/>
        </w:numPr>
        <w:rPr>
          <w:lang w:val="en-001"/>
        </w:rPr>
      </w:pPr>
      <w:r w:rsidRPr="00EA0ACB">
        <w:rPr>
          <w:lang w:val="en-001"/>
        </w:rPr>
        <w:t xml:space="preserve">The case may face opposition from </w:t>
      </w:r>
      <w:r w:rsidRPr="00EA0ACB">
        <w:rPr>
          <w:b/>
          <w:bCs/>
          <w:lang w:val="en-001"/>
        </w:rPr>
        <w:t>EU retailers and importers</w:t>
      </w:r>
      <w:r w:rsidRPr="00EA0ACB">
        <w:rPr>
          <w:lang w:val="en-001"/>
        </w:rPr>
        <w:t xml:space="preserve"> relying on Chinese imports.</w:t>
      </w:r>
    </w:p>
    <w:p w14:paraId="10D58AB3" w14:textId="77777777" w:rsidR="00EA0ACB" w:rsidRPr="00EA0ACB" w:rsidRDefault="00EA0ACB" w:rsidP="00EA0ACB">
      <w:pPr>
        <w:numPr>
          <w:ilvl w:val="1"/>
          <w:numId w:val="1"/>
        </w:numPr>
        <w:rPr>
          <w:lang w:val="en-001"/>
        </w:rPr>
      </w:pPr>
      <w:r w:rsidRPr="00EA0ACB">
        <w:rPr>
          <w:lang w:val="en-001"/>
        </w:rPr>
        <w:t xml:space="preserve">However, the </w:t>
      </w:r>
      <w:r w:rsidRPr="00EA0ACB">
        <w:rPr>
          <w:b/>
          <w:bCs/>
          <w:lang w:val="en-001"/>
        </w:rPr>
        <w:t>EU Commission prioritizes evidence of dumping and injury over importer concerns</w:t>
      </w:r>
      <w:r w:rsidRPr="00EA0ACB">
        <w:rPr>
          <w:lang w:val="en-001"/>
        </w:rPr>
        <w:t>, making Union interest less of a roadblock.</w:t>
      </w:r>
    </w:p>
    <w:p w14:paraId="6B369EC3" w14:textId="77777777" w:rsidR="00EA0ACB" w:rsidRPr="00EA0ACB" w:rsidRDefault="00EA0ACB" w:rsidP="00EA0ACB">
      <w:pPr>
        <w:rPr>
          <w:lang w:val="en-001"/>
        </w:rPr>
      </w:pPr>
      <w:r w:rsidRPr="00EA0ACB">
        <w:rPr>
          <w:lang w:val="en-001"/>
        </w:rPr>
        <w:t xml:space="preserve">These quantitative data points provide a </w:t>
      </w:r>
      <w:r w:rsidRPr="00EA0ACB">
        <w:rPr>
          <w:b/>
          <w:bCs/>
          <w:lang w:val="en-001"/>
        </w:rPr>
        <w:t>strong factual basis</w:t>
      </w:r>
      <w:r w:rsidRPr="00EA0ACB">
        <w:rPr>
          <w:lang w:val="en-001"/>
        </w:rPr>
        <w:t xml:space="preserve"> for understanding market dynamics, trade distortions, and the impact of Chinese mattress imports on the EU industry. If you need specific datasets formatted for use in the SVP report, let me know how you want them presented.</w:t>
      </w:r>
    </w:p>
    <w:p w14:paraId="6AC66D7A" w14:textId="77777777" w:rsidR="00553C4B" w:rsidRPr="00EA0ACB" w:rsidRDefault="00553C4B">
      <w:pPr>
        <w:rPr>
          <w:lang w:val="en-001"/>
        </w:rPr>
      </w:pPr>
    </w:p>
    <w:sectPr w:rsidR="00553C4B" w:rsidRPr="00EA0ACB"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2674D9"/>
    <w:multiLevelType w:val="multilevel"/>
    <w:tmpl w:val="FCF4A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3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CB"/>
    <w:rsid w:val="00032D57"/>
    <w:rsid w:val="003D5844"/>
    <w:rsid w:val="00453ECA"/>
    <w:rsid w:val="0049046D"/>
    <w:rsid w:val="00553C4B"/>
    <w:rsid w:val="006B1DBC"/>
    <w:rsid w:val="008776A1"/>
    <w:rsid w:val="00D76995"/>
    <w:rsid w:val="00EA0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7009"/>
  <w15:chartTrackingRefBased/>
  <w15:docId w15:val="{4A02CE7D-CEB2-450B-B175-38BD9E2B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A0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C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A0AC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A0AC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A0AC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A0AC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A0AC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A0AC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A0AC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A0AC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A0AC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A0ACB"/>
    <w:rPr>
      <w:rFonts w:asciiTheme="majorHAnsi" w:eastAsiaTheme="majorEastAsia" w:hAnsiTheme="majorHAnsi" w:cstheme="majorBidi"/>
      <w:color w:val="auto"/>
      <w:spacing w:val="-10"/>
      <w:kern w:val="28"/>
      <w:sz w:val="56"/>
      <w:szCs w:val="56"/>
      <w:lang w:val="en-US"/>
    </w:rPr>
  </w:style>
  <w:style w:type="paragraph" w:styleId="Subtitle">
    <w:name w:val="Subtitle"/>
    <w:basedOn w:val="Normal"/>
    <w:next w:val="Normal"/>
    <w:link w:val="SubtitleChar"/>
    <w:uiPriority w:val="11"/>
    <w:qFormat/>
    <w:rsid w:val="00EA0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AC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A0ACB"/>
    <w:pPr>
      <w:spacing w:before="160"/>
      <w:jc w:val="center"/>
    </w:pPr>
    <w:rPr>
      <w:i/>
      <w:iCs/>
      <w:color w:val="404040" w:themeColor="text1" w:themeTint="BF"/>
    </w:rPr>
  </w:style>
  <w:style w:type="character" w:customStyle="1" w:styleId="QuoteChar">
    <w:name w:val="Quote Char"/>
    <w:basedOn w:val="DefaultParagraphFont"/>
    <w:link w:val="Quote"/>
    <w:uiPriority w:val="29"/>
    <w:rsid w:val="00EA0ACB"/>
    <w:rPr>
      <w:i/>
      <w:iCs/>
      <w:color w:val="404040" w:themeColor="text1" w:themeTint="BF"/>
      <w:lang w:val="en-US"/>
    </w:rPr>
  </w:style>
  <w:style w:type="paragraph" w:styleId="ListParagraph">
    <w:name w:val="List Paragraph"/>
    <w:basedOn w:val="Normal"/>
    <w:uiPriority w:val="34"/>
    <w:qFormat/>
    <w:rsid w:val="00EA0ACB"/>
    <w:pPr>
      <w:ind w:left="720"/>
      <w:contextualSpacing/>
    </w:pPr>
  </w:style>
  <w:style w:type="character" w:styleId="IntenseEmphasis">
    <w:name w:val="Intense Emphasis"/>
    <w:basedOn w:val="DefaultParagraphFont"/>
    <w:uiPriority w:val="21"/>
    <w:qFormat/>
    <w:rsid w:val="00EA0ACB"/>
    <w:rPr>
      <w:i/>
      <w:iCs/>
      <w:color w:val="0F4761" w:themeColor="accent1" w:themeShade="BF"/>
    </w:rPr>
  </w:style>
  <w:style w:type="paragraph" w:styleId="IntenseQuote">
    <w:name w:val="Intense Quote"/>
    <w:basedOn w:val="Normal"/>
    <w:next w:val="Normal"/>
    <w:link w:val="IntenseQuoteChar"/>
    <w:uiPriority w:val="30"/>
    <w:qFormat/>
    <w:rsid w:val="00EA0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ACB"/>
    <w:rPr>
      <w:i/>
      <w:iCs/>
      <w:color w:val="0F4761" w:themeColor="accent1" w:themeShade="BF"/>
      <w:lang w:val="en-US"/>
    </w:rPr>
  </w:style>
  <w:style w:type="character" w:styleId="IntenseReference">
    <w:name w:val="Intense Reference"/>
    <w:basedOn w:val="DefaultParagraphFont"/>
    <w:uiPriority w:val="32"/>
    <w:qFormat/>
    <w:rsid w:val="00EA0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7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2025-03-11T02:58:00Z</dcterms:created>
  <dcterms:modified xsi:type="dcterms:W3CDTF">2025-03-11T02:59:00Z</dcterms:modified>
</cp:coreProperties>
</file>