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128" w14:textId="77777777" w:rsidR="00EB1876" w:rsidRDefault="00EB1876" w:rsidP="00EB1876">
      <w:pPr>
        <w:pStyle w:val="Normaalweb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  <w:sz w:val="22"/>
          <w:szCs w:val="22"/>
        </w:rPr>
        <w:t>Vita Group and Foam market Update - Growth Outlook &amp; Competitive Assessment</w:t>
      </w:r>
    </w:p>
    <w:p w14:paraId="21B18A40" w14:textId="77777777" w:rsidR="00EB1876" w:rsidRDefault="00EB1876" w:rsidP="00EB1876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Let’s start with a Foam market Update</w:t>
      </w:r>
    </w:p>
    <w:p w14:paraId="33116E00" w14:textId="5064F044" w:rsidR="00EB1876" w:rsidRPr="004E329F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8EAADB" w:themeColor="accent1" w:themeTint="99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Volumes - drivers/challenges and future outlook for 2023 onwards including YOY percentage 5 year growth outlook?</w:t>
      </w:r>
      <w:r w:rsidR="0041570B">
        <w:rPr>
          <w:rFonts w:ascii="Arial" w:hAnsi="Arial" w:cs="Arial"/>
          <w:color w:val="212121"/>
          <w:sz w:val="22"/>
          <w:szCs w:val="22"/>
          <w:lang w:val="nl-NL"/>
        </w:rPr>
        <w:t xml:space="preserve"> </w:t>
      </w:r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Market </w:t>
      </w:r>
      <w:proofErr w:type="spellStart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grew</w:t>
      </w:r>
      <w:proofErr w:type="spellEnd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over the last </w:t>
      </w:r>
      <w:proofErr w:type="spellStart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couple</w:t>
      </w:r>
      <w:proofErr w:type="spellEnd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of </w:t>
      </w:r>
      <w:proofErr w:type="spellStart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years</w:t>
      </w:r>
      <w:proofErr w:type="spellEnd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always</w:t>
      </w:r>
      <w:proofErr w:type="spellEnd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around</w:t>
      </w:r>
      <w:proofErr w:type="spellEnd"/>
      <w:r w:rsidR="002D0F3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r w:rsidR="00DB597F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2-3</w:t>
      </w:r>
      <w:r w:rsid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%</w:t>
      </w:r>
      <w:r w:rsidR="00DB597F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—&gt; double GDP. 2022 for the first time in 15 </w:t>
      </w:r>
      <w:proofErr w:type="spellStart"/>
      <w:r w:rsidR="00DB597F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years</w:t>
      </w:r>
      <w:proofErr w:type="spellEnd"/>
      <w:r w:rsidR="00DB597F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the market did </w:t>
      </w:r>
      <w:proofErr w:type="spellStart"/>
      <w:r w:rsidR="00DB597F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shrink</w:t>
      </w:r>
      <w:proofErr w:type="spellEnd"/>
      <w:r w:rsidR="00DB597F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r w:rsidR="00381927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with 8.3%</w:t>
      </w:r>
      <w:r w:rsidR="00A338A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. </w:t>
      </w:r>
      <w:proofErr w:type="spellStart"/>
      <w:r w:rsidR="00A338A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When</w:t>
      </w:r>
      <w:proofErr w:type="spellEnd"/>
      <w:r w:rsidR="00A338A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we </w:t>
      </w:r>
      <w:proofErr w:type="spellStart"/>
      <w:r w:rsidR="00A338A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exclude</w:t>
      </w:r>
      <w:proofErr w:type="spellEnd"/>
      <w:r w:rsidR="00A338A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Turkey and Eurasia the market did even </w:t>
      </w:r>
      <w:proofErr w:type="spellStart"/>
      <w:r w:rsidR="00A338A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sh</w:t>
      </w:r>
      <w:r w:rsidR="00877B38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rink</w:t>
      </w:r>
      <w:proofErr w:type="spellEnd"/>
      <w:r w:rsidR="00877B38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with </w:t>
      </w:r>
      <w:r w:rsidR="00E928D3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10.4%</w:t>
      </w:r>
      <w:r w:rsidR="0053092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Volume </w:t>
      </w:r>
      <w:proofErr w:type="spellStart"/>
      <w:r w:rsidR="0053092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wise</w:t>
      </w:r>
      <w:proofErr w:type="spellEnd"/>
      <w:r w:rsidR="0053092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we talk about total market for flexible foams in 2022 </w:t>
      </w:r>
      <w:r w:rsidR="009C365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1.57 Mio tons of </w:t>
      </w:r>
      <w:proofErr w:type="spellStart"/>
      <w:r w:rsidR="009C365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which</w:t>
      </w:r>
      <w:proofErr w:type="spellEnd"/>
      <w:r w:rsidR="009C365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flexible PU </w:t>
      </w:r>
      <w:r w:rsidR="000A69D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Slabstock foam was 1.33 Mio Tons. Drivers </w:t>
      </w:r>
      <w:r w:rsidR="0091713D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o</w:t>
      </w:r>
      <w:r w:rsidR="00844814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f the market </w:t>
      </w:r>
      <w:proofErr w:type="spellStart"/>
      <w:r w:rsidR="000A69D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were</w:t>
      </w:r>
      <w:proofErr w:type="spellEnd"/>
      <w:r w:rsidR="00C47E29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C415B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influenced</w:t>
      </w:r>
      <w:proofErr w:type="spellEnd"/>
      <w:r w:rsidR="00C415B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by</w:t>
      </w:r>
      <w:r w:rsidR="000A69D5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growth</w:t>
      </w:r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/</w:t>
      </w:r>
      <w:proofErr w:type="spellStart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decline</w:t>
      </w:r>
      <w:proofErr w:type="spellEnd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of the automotive industry and </w:t>
      </w:r>
      <w:proofErr w:type="spellStart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housing</w:t>
      </w:r>
      <w:proofErr w:type="spellEnd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industry </w:t>
      </w:r>
      <w:proofErr w:type="spellStart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which</w:t>
      </w:r>
      <w:proofErr w:type="spellEnd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consequently</w:t>
      </w:r>
      <w:proofErr w:type="spellEnd"/>
      <w:r w:rsidR="003D79D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causes</w:t>
      </w:r>
      <w:proofErr w:type="spellEnd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a lot of </w:t>
      </w:r>
      <w:proofErr w:type="spellStart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pick</w:t>
      </w:r>
      <w:proofErr w:type="spellEnd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up of furniture and </w:t>
      </w:r>
      <w:proofErr w:type="spellStart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matresses</w:t>
      </w:r>
      <w:proofErr w:type="spellEnd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. </w:t>
      </w:r>
      <w:proofErr w:type="spellStart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Further</w:t>
      </w:r>
      <w:proofErr w:type="spellEnd"/>
      <w:r w:rsidR="00F323EC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challe</w:t>
      </w:r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nges in the last </w:t>
      </w:r>
      <w:proofErr w:type="spellStart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couple</w:t>
      </w:r>
      <w:proofErr w:type="spellEnd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of </w:t>
      </w:r>
      <w:proofErr w:type="spellStart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years</w:t>
      </w:r>
      <w:proofErr w:type="spellEnd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were</w:t>
      </w:r>
      <w:proofErr w:type="spellEnd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the </w:t>
      </w:r>
      <w:proofErr w:type="spellStart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availability</w:t>
      </w:r>
      <w:proofErr w:type="spellEnd"/>
      <w:r w:rsidR="00D26C59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of Raw materials and the pricing of raw materials </w:t>
      </w:r>
      <w:proofErr w:type="spellStart"/>
      <w:r w:rsidR="00C353E3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which</w:t>
      </w:r>
      <w:proofErr w:type="spellEnd"/>
      <w:r w:rsidR="00C353E3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C353E3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were</w:t>
      </w:r>
      <w:proofErr w:type="spellEnd"/>
      <w:r w:rsidR="00C353E3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in a roller coaster.</w:t>
      </w:r>
      <w:r w:rsidR="000C75C0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The limited </w:t>
      </w:r>
      <w:proofErr w:type="spellStart"/>
      <w:r w:rsidR="000C75C0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availability</w:t>
      </w:r>
      <w:proofErr w:type="spellEnd"/>
      <w:r w:rsidR="000C75C0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in Europe of Raw materials </w:t>
      </w:r>
      <w:proofErr w:type="spellStart"/>
      <w:r w:rsidR="000C75C0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caused</w:t>
      </w:r>
      <w:proofErr w:type="spellEnd"/>
      <w:r w:rsidR="000C75C0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r w:rsidR="00045B4E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PU </w:t>
      </w:r>
      <w:proofErr w:type="spellStart"/>
      <w:r w:rsidR="00045B4E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foamers</w:t>
      </w:r>
      <w:proofErr w:type="spellEnd"/>
      <w:r w:rsidR="00045B4E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to buy </w:t>
      </w:r>
      <w:proofErr w:type="spellStart"/>
      <w:r w:rsidR="00045B4E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directly</w:t>
      </w:r>
      <w:proofErr w:type="spellEnd"/>
      <w:r w:rsidR="00045B4E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in Asia like China and Korea.</w:t>
      </w:r>
      <w:r w:rsidR="00C353E3" w:rsidRPr="004E329F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844814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Furthermore</w:t>
      </w:r>
      <w:proofErr w:type="spellEnd"/>
      <w:r w:rsidR="00844814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it is </w:t>
      </w:r>
      <w:proofErr w:type="spellStart"/>
      <w:r w:rsidR="00844814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ver</w:t>
      </w:r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y</w:t>
      </w:r>
      <w:proofErr w:type="spellEnd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difficult</w:t>
      </w:r>
      <w:proofErr w:type="spellEnd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to follow the </w:t>
      </w:r>
      <w:proofErr w:type="spellStart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price</w:t>
      </w:r>
      <w:proofErr w:type="spellEnd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roller coasters </w:t>
      </w:r>
      <w:proofErr w:type="spellStart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into</w:t>
      </w:r>
      <w:proofErr w:type="spellEnd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4E16C1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a</w:t>
      </w:r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dapted</w:t>
      </w:r>
      <w:proofErr w:type="spellEnd"/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pricing in the market as OEMs </w:t>
      </w:r>
      <w:proofErr w:type="spellStart"/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often</w:t>
      </w:r>
      <w:proofErr w:type="spellEnd"/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allow</w:t>
      </w:r>
      <w:proofErr w:type="spellEnd"/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3759FD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adaptations</w:t>
      </w:r>
      <w:proofErr w:type="spellEnd"/>
      <w:r w:rsidR="003759FD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</w:t>
      </w:r>
      <w:proofErr w:type="spellStart"/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only</w:t>
      </w:r>
      <w:proofErr w:type="spellEnd"/>
      <w:r w:rsidR="00B40FEA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 xml:space="preserve"> with a </w:t>
      </w:r>
      <w:proofErr w:type="spellStart"/>
      <w:r w:rsidR="003759FD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delay</w:t>
      </w:r>
      <w:proofErr w:type="spellEnd"/>
      <w:r w:rsidR="003759FD">
        <w:rPr>
          <w:rFonts w:ascii="Arial" w:hAnsi="Arial" w:cs="Arial"/>
          <w:b/>
          <w:bCs/>
          <w:color w:val="8EAADB" w:themeColor="accent1" w:themeTint="99"/>
          <w:sz w:val="22"/>
          <w:szCs w:val="22"/>
          <w:lang w:val="nl-NL"/>
        </w:rPr>
        <w:t>.</w:t>
      </w:r>
    </w:p>
    <w:p w14:paraId="3EB5CB0B" w14:textId="2CDE6CCE" w:rsidR="00EB1876" w:rsidRPr="00EC06B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Pricing - drivers/challenges and future outlook for 2023 onwards including YOY percentage 5 year growth outlook?</w:t>
      </w:r>
      <w:r w:rsidR="007C5E05">
        <w:rPr>
          <w:rFonts w:ascii="Arial" w:hAnsi="Arial" w:cs="Arial"/>
          <w:color w:val="212121"/>
          <w:sz w:val="22"/>
          <w:szCs w:val="22"/>
          <w:lang w:val="nl-NL"/>
        </w:rPr>
        <w:t xml:space="preserve"> </w:t>
      </w:r>
      <w:r w:rsidR="007C5E0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In my </w:t>
      </w:r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opinion 2023 </w:t>
      </w:r>
      <w:proofErr w:type="spellStart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will</w:t>
      </w:r>
      <w:proofErr w:type="spellEnd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show </w:t>
      </w:r>
      <w:proofErr w:type="spellStart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again</w:t>
      </w:r>
      <w:proofErr w:type="spellEnd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a </w:t>
      </w:r>
      <w:proofErr w:type="spellStart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decline</w:t>
      </w:r>
      <w:proofErr w:type="spellEnd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. </w:t>
      </w:r>
      <w:proofErr w:type="spellStart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Influencing</w:t>
      </w:r>
      <w:proofErr w:type="spellEnd"/>
      <w:r w:rsidR="00497270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factors are War Ukraine, </w:t>
      </w:r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High </w:t>
      </w:r>
      <w:proofErr w:type="spellStart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gass</w:t>
      </w:r>
      <w:proofErr w:type="spellEnd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and </w:t>
      </w:r>
      <w:proofErr w:type="spellStart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electricity</w:t>
      </w:r>
      <w:proofErr w:type="spellEnd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prices</w:t>
      </w:r>
      <w:proofErr w:type="spellEnd"/>
      <w:r w:rsidR="001B4E9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(</w:t>
      </w:r>
      <w:proofErr w:type="spellStart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which</w:t>
      </w:r>
      <w:proofErr w:type="spellEnd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are </w:t>
      </w:r>
      <w:proofErr w:type="spellStart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influencing</w:t>
      </w:r>
      <w:proofErr w:type="spellEnd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the PU making industry not </w:t>
      </w:r>
      <w:proofErr w:type="spellStart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only</w:t>
      </w:r>
      <w:proofErr w:type="spellEnd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directly</w:t>
      </w:r>
      <w:proofErr w:type="spellEnd"/>
      <w:r w:rsidR="00B77D5E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DD52CA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but</w:t>
      </w:r>
      <w:proofErr w:type="spellEnd"/>
      <w:r w:rsidR="00DD52CA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DD52CA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also</w:t>
      </w:r>
      <w:proofErr w:type="spellEnd"/>
      <w:r w:rsidR="00DD52CA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the </w:t>
      </w:r>
      <w:proofErr w:type="spellStart"/>
      <w:r w:rsidR="00DD52CA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costs</w:t>
      </w:r>
      <w:proofErr w:type="spellEnd"/>
      <w:r w:rsidR="00DD52CA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of raw materials </w:t>
      </w:r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, </w:t>
      </w:r>
      <w:proofErr w:type="spellStart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Inflation</w:t>
      </w:r>
      <w:proofErr w:type="spellEnd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for </w:t>
      </w:r>
      <w:proofErr w:type="spellStart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household</w:t>
      </w:r>
      <w:proofErr w:type="spellEnd"/>
      <w:r w:rsidR="00EB7949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r w:rsidR="003776C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(</w:t>
      </w:r>
      <w:proofErr w:type="spellStart"/>
      <w:r w:rsidR="003776C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Example</w:t>
      </w:r>
      <w:proofErr w:type="spellEnd"/>
      <w:r w:rsidR="003776C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of </w:t>
      </w:r>
      <w:proofErr w:type="spellStart"/>
      <w:r w:rsidR="003776C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costs</w:t>
      </w:r>
      <w:proofErr w:type="spellEnd"/>
      <w:r w:rsidR="003776C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for families like enigers etc)</w:t>
      </w:r>
      <w:r w:rsidR="00556EBA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.</w:t>
      </w:r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I </w:t>
      </w:r>
      <w:proofErr w:type="spellStart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think</w:t>
      </w:r>
      <w:proofErr w:type="spellEnd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that 2023 </w:t>
      </w:r>
      <w:proofErr w:type="spellStart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will</w:t>
      </w:r>
      <w:proofErr w:type="spellEnd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show a </w:t>
      </w:r>
      <w:proofErr w:type="spellStart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decline</w:t>
      </w:r>
      <w:proofErr w:type="spellEnd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again</w:t>
      </w:r>
      <w:proofErr w:type="spellEnd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of </w:t>
      </w:r>
      <w:proofErr w:type="spellStart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around</w:t>
      </w:r>
      <w:proofErr w:type="spellEnd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10%. 2024 the market </w:t>
      </w:r>
      <w:proofErr w:type="spellStart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will</w:t>
      </w:r>
      <w:proofErr w:type="spellEnd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botten out and </w:t>
      </w:r>
      <w:proofErr w:type="spellStart"/>
      <w:r w:rsidR="00404FF5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ev</w:t>
      </w:r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entual</w:t>
      </w:r>
      <w:proofErr w:type="spellEnd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2025 can show an </w:t>
      </w:r>
      <w:proofErr w:type="spellStart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increase</w:t>
      </w:r>
      <w:proofErr w:type="spellEnd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again</w:t>
      </w:r>
      <w:proofErr w:type="spellEnd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but</w:t>
      </w:r>
      <w:proofErr w:type="spellEnd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not more </w:t>
      </w:r>
      <w:proofErr w:type="spellStart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than</w:t>
      </w:r>
      <w:proofErr w:type="spellEnd"/>
      <w:r w:rsidR="007C4028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double GDP per</w:t>
      </w:r>
      <w:r w:rsidR="00EC06B6" w:rsidRPr="00EC06B6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country.</w:t>
      </w:r>
    </w:p>
    <w:p w14:paraId="5F3B450D" w14:textId="7927431C" w:rsidR="00EB1876" w:rsidRPr="00F47735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Industry challenges noting supply chain: Cost outlook for polymers etc and sourcing of raw materials?</w:t>
      </w:r>
      <w:r w:rsidR="005059EE">
        <w:rPr>
          <w:rFonts w:ascii="Arial" w:hAnsi="Arial" w:cs="Arial"/>
          <w:color w:val="212121"/>
          <w:sz w:val="22"/>
          <w:szCs w:val="22"/>
          <w:lang w:val="nl-NL"/>
        </w:rPr>
        <w:t xml:space="preserve"> </w:t>
      </w:r>
      <w:r w:rsidR="005059EE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Polymers are now </w:t>
      </w:r>
      <w:proofErr w:type="spellStart"/>
      <w:r w:rsidR="005059EE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very</w:t>
      </w:r>
      <w:proofErr w:type="spellEnd"/>
      <w:r w:rsidR="005059EE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low in pricing due to </w:t>
      </w:r>
      <w:proofErr w:type="spellStart"/>
      <w:r w:rsidR="005059EE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weak</w:t>
      </w:r>
      <w:proofErr w:type="spellEnd"/>
      <w:r w:rsidR="005059EE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demand </w:t>
      </w:r>
      <w:proofErr w:type="spellStart"/>
      <w:r w:rsidR="005059EE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compared</w:t>
      </w:r>
      <w:proofErr w:type="spellEnd"/>
      <w:r w:rsidR="005059EE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r w:rsidR="008B79BF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to </w:t>
      </w:r>
      <w:proofErr w:type="spellStart"/>
      <w:r w:rsidR="008B79BF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installed</w:t>
      </w:r>
      <w:proofErr w:type="spellEnd"/>
      <w:r w:rsidR="008B79BF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8B79BF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capacity</w:t>
      </w:r>
      <w:proofErr w:type="spellEnd"/>
      <w:r w:rsidR="008B79BF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. This </w:t>
      </w:r>
      <w:proofErr w:type="spellStart"/>
      <w:r w:rsidR="008B79BF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will</w:t>
      </w:r>
      <w:proofErr w:type="spellEnd"/>
      <w:r w:rsidR="008B79BF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change </w:t>
      </w:r>
      <w:proofErr w:type="spellStart"/>
      <w:r w:rsidR="00173214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also</w:t>
      </w:r>
      <w:proofErr w:type="spellEnd"/>
      <w:r w:rsidR="00173214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8A0AA5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partly</w:t>
      </w:r>
      <w:proofErr w:type="spellEnd"/>
      <w:r w:rsidR="008A0AA5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proofErr w:type="spellStart"/>
      <w:r w:rsidR="008A0AA5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driven</w:t>
      </w:r>
      <w:proofErr w:type="spellEnd"/>
      <w:r w:rsidR="008A0AA5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by more growth </w:t>
      </w:r>
      <w:proofErr w:type="spellStart"/>
      <w:r w:rsidR="008A0AA5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>outside</w:t>
      </w:r>
      <w:proofErr w:type="spellEnd"/>
      <w:r w:rsidR="008A0AA5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Europe in the PU markets.</w:t>
      </w:r>
      <w:r w:rsid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  <w:r w:rsidR="008A0AA5" w:rsidRPr="00F47735">
        <w:rPr>
          <w:rFonts w:ascii="Arial" w:hAnsi="Arial" w:cs="Arial"/>
          <w:b/>
          <w:bCs/>
          <w:color w:val="212121"/>
          <w:sz w:val="22"/>
          <w:szCs w:val="22"/>
          <w:lang w:val="nl-NL"/>
        </w:rPr>
        <w:t xml:space="preserve"> </w:t>
      </w:r>
    </w:p>
    <w:p w14:paraId="7FD4FEAD" w14:textId="46515995" w:rsidR="00EB187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sectoral trends and geographical region trends noting sustainability also?</w:t>
      </w:r>
      <w:r w:rsidR="007774F8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591B23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Yes we see that furniture and </w:t>
      </w:r>
      <w:proofErr w:type="spellStart"/>
      <w:r w:rsidR="00591B23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matresses</w:t>
      </w:r>
      <w:proofErr w:type="spellEnd"/>
      <w:r w:rsidR="00591B23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is under </w:t>
      </w:r>
      <w:proofErr w:type="spellStart"/>
      <w:r w:rsidR="00591B23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presssure</w:t>
      </w:r>
      <w:proofErr w:type="spellEnd"/>
      <w:r w:rsidR="00591B23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and automotive is </w:t>
      </w:r>
      <w:r w:rsidR="00AA634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slightly recovering for the moment mainly driven by the change to EV. </w:t>
      </w:r>
      <w:r>
        <w:rPr>
          <w:rFonts w:ascii="Arial" w:hAnsi="Arial" w:cs="Arial"/>
          <w:color w:val="212121"/>
          <w:sz w:val="22"/>
          <w:szCs w:val="22"/>
        </w:rPr>
        <w:t xml:space="preserve"> Who's winning in the sustainability race?</w:t>
      </w:r>
      <w:r w:rsidR="00AA634D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AA634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The on</w:t>
      </w:r>
      <w:r w:rsidR="007F4C8C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es who will find the optimal balance between the different recycling technologies </w:t>
      </w:r>
      <w:r w:rsidR="003A6BE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Mechanical, chemical and thermo chemical recycling combined with design for</w:t>
      </w:r>
      <w:r w:rsidR="00E90981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recycling</w:t>
      </w:r>
      <w:r w:rsidR="00046558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. Meeting the EU targets on recycling will</w:t>
      </w:r>
      <w:r w:rsidR="0045232E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be a must. In my opinion it will start with a proven recycled content in products of 25</w:t>
      </w:r>
      <w:r w:rsidR="003A3660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% and will slowly move up up till 50% and higher as from 2030 onwards. </w:t>
      </w:r>
      <w:r w:rsidR="004D74E6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People who will not </w:t>
      </w:r>
      <w:proofErr w:type="spellStart"/>
      <w:r w:rsidR="004D74E6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fulfill</w:t>
      </w:r>
      <w:proofErr w:type="spellEnd"/>
      <w:r w:rsidR="004D74E6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these targets will probably be penalised.</w:t>
      </w:r>
    </w:p>
    <w:p w14:paraId="2B569A25" w14:textId="7616E9B7" w:rsidR="00557089" w:rsidRPr="00557089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What does sustainable product mean for profitability and total market size of the industry?</w:t>
      </w:r>
      <w:r w:rsidR="00E90981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E90981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The market size will not significantly change </w:t>
      </w:r>
      <w:r w:rsidR="00557089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except for mentioned earlier. However I think that </w:t>
      </w:r>
      <w:r w:rsidR="008141A2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the costs for recycling and sustainability needs to be given further on in the markets. In the beg</w:t>
      </w:r>
      <w:r w:rsidR="00D577E6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inning when this is all in a premature phase this will puts margins under pressure but later it will go</w:t>
      </w:r>
      <w:r w:rsidR="00307F38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with the general accepted flow of inflation increases prices. </w:t>
      </w:r>
    </w:p>
    <w:p w14:paraId="5F8CA69C" w14:textId="4D99C816" w:rsidR="00EB187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Thoughts on recent M&amp;A consolidation?</w:t>
      </w:r>
      <w:r w:rsidR="002F5FBF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2F5FB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View o</w:t>
      </w:r>
      <w:r w:rsidR="00695598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n</w:t>
      </w:r>
      <w:r w:rsidR="002F5FB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</w:t>
      </w:r>
      <w:r w:rsidR="00E84ECE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recent </w:t>
      </w:r>
      <w:r w:rsidR="002F5FB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take over Carpenter</w:t>
      </w:r>
      <w:r w:rsidR="00E84ECE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. Room for specialists but also further consolidation in the markets </w:t>
      </w:r>
      <w:r w:rsidR="00D41E5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by backwards and forward integration like for example PU foamers producing and selling </w:t>
      </w:r>
      <w:r w:rsidR="00C92A15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mattresses</w:t>
      </w:r>
      <w:r w:rsidR="006673D8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and producing certain RM like re-Polyol themselves.</w:t>
      </w:r>
    </w:p>
    <w:p w14:paraId="31E08909" w14:textId="6E789594" w:rsidR="00EB1876" w:rsidRPr="0075698D" w:rsidRDefault="00EB1876" w:rsidP="00804808">
      <w:pPr>
        <w:pStyle w:val="Norma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lastRenderedPageBreak/>
        <w:t>What growth opportunities does the industry have for the next 5-10 years?</w:t>
      </w:r>
      <w:r w:rsidR="00C92A15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C92A15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Expand geographical scopes to areas where there is </w:t>
      </w:r>
      <w:r w:rsidR="00883995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still growth in te PU markets like MEA and Asia certain countries. Ride the wave of change in </w:t>
      </w:r>
      <w:r w:rsidR="00074C23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sustainability and even with this cast out other non</w:t>
      </w:r>
      <w:r w:rsid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-</w:t>
      </w:r>
      <w:r w:rsidR="00074C23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PU pro</w:t>
      </w:r>
      <w:r w:rsidR="00D40501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ducts which can be more difficult to recycle. Jumbo on new market segments like EV</w:t>
      </w:r>
      <w:r w:rsidR="00804808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, </w:t>
      </w:r>
      <w:r w:rsidR="00BD3F47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change</w:t>
      </w:r>
      <w:r w:rsidR="00804808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on living consequently new </w:t>
      </w:r>
      <w:r w:rsidR="006F22EE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business models for </w:t>
      </w:r>
      <w:r w:rsidR="0075698D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mattresses</w:t>
      </w:r>
      <w:r w:rsidR="006F22EE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, furniture but also the excellent properties w</w:t>
      </w:r>
      <w:r w:rsidR="00ED7C29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hich PU have to contribute </w:t>
      </w:r>
      <w:r w:rsidR="00BD3F47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to</w:t>
      </w:r>
      <w:r w:rsidR="00ED7C29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more comfort for daily life like clean water, clean air, less s</w:t>
      </w:r>
      <w:r w:rsidR="00771A44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ound pollution, contribute to enable </w:t>
      </w:r>
      <w:r w:rsidR="0075698D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greener</w:t>
      </w:r>
      <w:r w:rsidR="00771A44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in cities like roof and Wa</w:t>
      </w:r>
      <w:r w:rsidR="0075698D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l</w:t>
      </w:r>
      <w:r w:rsidR="00771A44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l </w:t>
      </w:r>
      <w:r w:rsidR="00BD3F47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greening.</w:t>
      </w:r>
      <w:r w:rsidR="0075698D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</w:t>
      </w:r>
      <w:r w:rsidR="00074C23" w:rsidRPr="0075698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</w:t>
      </w:r>
      <w:r w:rsidR="00BD3F47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PU </w:t>
      </w:r>
      <w:r w:rsidR="003A1D3E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foamers like for example Vita have to adapt there product portfolios to these change in end</w:t>
      </w:r>
      <w:r w:rsidR="00324E26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(consumer) markets.</w:t>
      </w:r>
    </w:p>
    <w:p w14:paraId="0DF5FA5C" w14:textId="77777777" w:rsidR="00EB1876" w:rsidRDefault="00EB1876" w:rsidP="00EB1876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Vita Group’s competitive positioning… </w:t>
      </w:r>
    </w:p>
    <w:p w14:paraId="309257F7" w14:textId="67664E9C" w:rsidR="00EB1876" w:rsidRPr="00AF3EFF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How does your role tie into Vita?</w:t>
      </w:r>
      <w:r w:rsidR="009313C6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9313C6" w:rsidRPr="00AF3EF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I ha</w:t>
      </w:r>
      <w:r w:rsidR="00EF4CFE" w:rsidRPr="00AF3EF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ve been working more than 35 years in this industry. Almost 20 years in </w:t>
      </w:r>
      <w:r w:rsidR="00A7350F" w:rsidRPr="00AF3EF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Recticel and 10 years as CEO of the biggest competitor of technical foams at Vita. </w:t>
      </w:r>
      <w:r w:rsidR="00C579C4" w:rsidRPr="00AF3EF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Furthermore,</w:t>
      </w:r>
      <w:r w:rsidR="00A7350F" w:rsidRPr="00AF3EF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I am now </w:t>
      </w:r>
      <w:r w:rsidR="00C579C4" w:rsidRPr="00AF3EF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almost 8 years President of the European PU association.</w:t>
      </w:r>
    </w:p>
    <w:p w14:paraId="79456F93" w14:textId="77777777" w:rsidR="00EB187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Can you summarise the comp landscape ordering major players by revenue size and market share and market positioning? </w:t>
      </w:r>
    </w:p>
    <w:tbl>
      <w:tblPr>
        <w:tblW w:w="17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860"/>
        <w:gridCol w:w="2580"/>
        <w:gridCol w:w="10860"/>
      </w:tblGrid>
      <w:tr w:rsidR="005B5B60" w:rsidRPr="005B5B60" w14:paraId="0B0F0022" w14:textId="77777777">
        <w:trPr>
          <w:divId w:val="648707662"/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2DC0BE0" w14:textId="77777777" w:rsidR="005B5B60" w:rsidRPr="005B5B60" w:rsidRDefault="005B5B60" w:rsidP="005B5B60">
            <w:pPr>
              <w:pStyle w:val="Lijstalinea"/>
              <w:numPr>
                <w:ilvl w:val="0"/>
                <w:numId w:val="1"/>
              </w:numPr>
              <w:rPr>
                <w:rFonts w:ascii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EC0560F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  <w:t>Europe incl Russia; Excluding Turkey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3B25470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</w:pPr>
          </w:p>
        </w:tc>
        <w:tc>
          <w:tcPr>
            <w:tcW w:w="10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B5E4879" w14:textId="77777777" w:rsidR="005B5B60" w:rsidRPr="005B5B60" w:rsidRDefault="005B5B60" w:rsidP="005B5B6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5B5B60" w:rsidRPr="005B5B60" w14:paraId="3B2D8166" w14:textId="77777777">
        <w:trPr>
          <w:divId w:val="648707662"/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984D857" w14:textId="77777777" w:rsidR="005B5B60" w:rsidRPr="005B5B60" w:rsidRDefault="005B5B60" w:rsidP="005B5B6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C6017" w14:textId="77777777" w:rsidR="005B5B60" w:rsidRPr="005B5B60" w:rsidRDefault="005B5B60" w:rsidP="005B5B6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F2E11" w14:textId="77777777" w:rsidR="005B5B60" w:rsidRPr="005B5B60" w:rsidRDefault="005B5B60" w:rsidP="005B5B6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87289A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i/>
                <w:i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i/>
                <w:i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 xml:space="preserve">Only Flexfoam including Bonded foams, mobilty products, Living &amp; care. </w:t>
            </w:r>
          </w:p>
        </w:tc>
      </w:tr>
      <w:tr w:rsidR="005B5B60" w:rsidRPr="005B5B60" w14:paraId="767CFE74" w14:textId="77777777">
        <w:trPr>
          <w:divId w:val="648707662"/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BC9FDA5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  <w:t>Ranking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6F1489BE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01F51FF5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  <w:t>2020 Turnover in Mio 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33D7BD11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szCs w:val="22"/>
                <w:lang w:eastAsia="nl-NL"/>
                <w14:ligatures w14:val="none"/>
              </w:rPr>
              <w:t>Comment</w:t>
            </w:r>
          </w:p>
        </w:tc>
      </w:tr>
      <w:tr w:rsidR="005B5B60" w:rsidRPr="005B5B60" w14:paraId="117C4FAB" w14:textId="77777777">
        <w:trPr>
          <w:divId w:val="648707662"/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343AB1B6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AC05979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Vita Group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5035664D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2BA26EAB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Entire group turnover incl recent acq IMPE Italy</w:t>
            </w:r>
          </w:p>
        </w:tc>
      </w:tr>
      <w:tr w:rsidR="005B5B60" w:rsidRPr="005B5B60" w14:paraId="1AD19F13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690919C7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D2ECC26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NEVEON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275A9404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58ED187F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Including Eurofoam effect</w:t>
            </w:r>
          </w:p>
        </w:tc>
      </w:tr>
      <w:tr w:rsidR="005B5B60" w:rsidRPr="005B5B60" w14:paraId="69D748FA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76D054B2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14E24BB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Recticel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1DE3DB59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4962AEC3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Only FlexFoam business. Including Eurofoam and Foampartner- effect, interco bedding 50 Mio and minority in ORSA Italy</w:t>
            </w:r>
          </w:p>
        </w:tc>
      </w:tr>
      <w:tr w:rsidR="005B5B60" w:rsidRPr="005B5B60" w14:paraId="2C598A04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03178C5F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970BB0E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Carpenter Europe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34C4D7D0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7E981B3A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Including the sales of import US goods in the UK</w:t>
            </w:r>
          </w:p>
        </w:tc>
      </w:tr>
      <w:tr w:rsidR="005B5B60" w:rsidRPr="005B5B60" w14:paraId="6A00674F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2107E5E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CC977E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Foamline Russia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DC9138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BBF705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Total estimated volume 90KT. 10 Factories, 7 cutting centres</w:t>
            </w:r>
          </w:p>
        </w:tc>
      </w:tr>
      <w:tr w:rsidR="005B5B60" w:rsidRPr="005B5B60" w14:paraId="5B7CDF3D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884281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6C0B8F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OLMO Group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6042560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81A7EBC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Incl TG-Group</w:t>
            </w:r>
          </w:p>
        </w:tc>
      </w:tr>
      <w:tr w:rsidR="005B5B60" w:rsidRPr="005B5B60" w14:paraId="10B0BDFD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08CFD67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E234E2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 xml:space="preserve">Flex 2000 Portugal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0137B1F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66736DF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Main sales in Portugal/Spain and S.America exports Main client Aquinos Group</w:t>
            </w:r>
          </w:p>
        </w:tc>
      </w:tr>
      <w:tr w:rsidR="005B5B60" w:rsidRPr="005B5B60" w14:paraId="1D597ADC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775567E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8419D6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Correct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5DFD619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7254F20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Total estimated Produced 35KT. Main client Ikea</w:t>
            </w:r>
          </w:p>
        </w:tc>
      </w:tr>
      <w:tr w:rsidR="005B5B60" w:rsidRPr="005B5B60" w14:paraId="4D46353A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CCB038C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53B91F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Ikano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DF1BAFF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D9F8F38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Total estimate produced 30KT. Main client Ikea</w:t>
            </w:r>
          </w:p>
        </w:tc>
      </w:tr>
      <w:tr w:rsidR="005B5B60" w:rsidRPr="005B5B60" w14:paraId="15FA1E78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974E2C4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2C33DF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Egida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ECED478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B9CCFE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Total produced estimated at 30KT</w:t>
            </w:r>
          </w:p>
        </w:tc>
      </w:tr>
      <w:tr w:rsidR="005B5B60" w:rsidRPr="005B5B60" w14:paraId="40D9DA72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76F8E2D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AE311C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Aramis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9ED411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E3A624D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Total estimate produced 20KT. Main client Ikea</w:t>
            </w:r>
          </w:p>
        </w:tc>
      </w:tr>
      <w:tr w:rsidR="005B5B60" w:rsidRPr="005B5B60" w14:paraId="561D1EF0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09E2348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BC28CB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Orsafoam Italy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75D0F5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DE2ACF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Confirmed</w:t>
            </w:r>
          </w:p>
        </w:tc>
      </w:tr>
      <w:tr w:rsidR="005B5B60" w:rsidRPr="005B5B60" w14:paraId="0E3391E3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38D1ED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DA4ACA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 xml:space="preserve">Organika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73EB1F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30FBF89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Manly Poland but also SE Europe 8 Plants 20-25KT</w:t>
            </w:r>
          </w:p>
        </w:tc>
      </w:tr>
      <w:tr w:rsidR="005B5B60" w:rsidRPr="005B5B60" w14:paraId="320F31E8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B705DE6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CF2662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Breckle Nordheim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0051BF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54CE58D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Only matresses and bed systems. Main clients Jysk and Dänsisch Bettenlager</w:t>
            </w:r>
          </w:p>
        </w:tc>
      </w:tr>
      <w:tr w:rsidR="005B5B60" w:rsidRPr="005B5B60" w14:paraId="6BCBE284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BFA6967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AA38E9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Ciech Pianki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D5607BB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73568B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Estimate produced volume 30KT</w:t>
            </w:r>
          </w:p>
        </w:tc>
      </w:tr>
      <w:tr w:rsidR="005B5B60" w:rsidRPr="005B5B60" w14:paraId="5A20FC14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7BDE1DC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8E6ACC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Dominari Lithouwen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4A3DE96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D9F0F75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Confirmed</w:t>
            </w:r>
          </w:p>
        </w:tc>
      </w:tr>
      <w:tr w:rsidR="005B5B60" w:rsidRPr="005B5B60" w14:paraId="7AC615F8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737FC8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F9E070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Ametist Russia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241F26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4CBD563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confirmed</w:t>
            </w:r>
          </w:p>
        </w:tc>
      </w:tr>
      <w:tr w:rsidR="005B5B60" w:rsidRPr="005B5B60" w14:paraId="3BF12477" w14:textId="77777777">
        <w:trPr>
          <w:divId w:val="648707662"/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C45D796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6C5F26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Plamapur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E8AFD7C" w14:textId="77777777" w:rsidR="005B5B60" w:rsidRPr="005B5B60" w:rsidRDefault="005B5B60" w:rsidP="005B5B60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52B5F3B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  <w:r w:rsidRPr="005B5B6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  <w:t>Confirmed</w:t>
            </w:r>
          </w:p>
        </w:tc>
      </w:tr>
      <w:tr w:rsidR="005B5B60" w:rsidRPr="005B5B60" w14:paraId="1F5A7C6C" w14:textId="77777777">
        <w:trPr>
          <w:divId w:val="648707662"/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D10AE64" w14:textId="77777777" w:rsidR="005B5B60" w:rsidRPr="005B5B60" w:rsidRDefault="005B5B60" w:rsidP="005B5B60">
            <w:pP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3FEFEE7" w14:textId="77777777" w:rsidR="005B5B60" w:rsidRPr="005B5B60" w:rsidRDefault="005B5B60" w:rsidP="005B5B6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885D630" w14:textId="77777777" w:rsidR="005B5B60" w:rsidRPr="005B5B60" w:rsidRDefault="005B5B60" w:rsidP="005B5B6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76A310" w14:textId="77777777" w:rsidR="005B5B60" w:rsidRPr="005B5B60" w:rsidRDefault="005B5B60" w:rsidP="005B5B6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65189CAE" w14:textId="77777777" w:rsidR="00330436" w:rsidRDefault="00330436" w:rsidP="005B5B60">
      <w:pPr>
        <w:pStyle w:val="Norma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12121"/>
          <w:sz w:val="22"/>
          <w:szCs w:val="22"/>
        </w:rPr>
      </w:pPr>
    </w:p>
    <w:p w14:paraId="77D65A3A" w14:textId="786C1D16" w:rsidR="00EB187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How do you view them compared to other suppliers? Strengths and weaknesses?</w:t>
      </w:r>
      <w:r w:rsidR="00AF3EFF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AF3EFF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Strength Purchase power</w:t>
      </w:r>
      <w:r w:rsidR="00645665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, </w:t>
      </w:r>
      <w:proofErr w:type="spellStart"/>
      <w:r w:rsidR="00645665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Geograpical</w:t>
      </w:r>
      <w:proofErr w:type="spellEnd"/>
      <w:r w:rsidR="00645665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presence, Development capacity/Power</w:t>
      </w:r>
      <w:r w:rsidR="00AA2E55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,</w:t>
      </w:r>
      <w:r w:rsidR="007104D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</w:t>
      </w:r>
      <w:r w:rsidR="00E66A77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Weaknesses overhead costs, agility to </w:t>
      </w:r>
      <w:r w:rsidR="00E66A77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lastRenderedPageBreak/>
        <w:t xml:space="preserve">quickly reach on changing market </w:t>
      </w:r>
      <w:r w:rsidR="00E51AA4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circumstances, local tie-in at customers.</w:t>
      </w:r>
    </w:p>
    <w:p w14:paraId="75505EC6" w14:textId="29046A01" w:rsidR="00EB1876" w:rsidRDefault="00EB1876" w:rsidP="00EB1876">
      <w:pPr>
        <w:pStyle w:val="Norma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Portfolio and M&amp;A wise?</w:t>
      </w:r>
      <w:r w:rsidR="00562D55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F77139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See table when discussed competitors</w:t>
      </w:r>
    </w:p>
    <w:p w14:paraId="2750CDF0" w14:textId="10F1780B" w:rsidR="00EB1876" w:rsidRDefault="00EB1876" w:rsidP="00EB1876">
      <w:pPr>
        <w:pStyle w:val="Norma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Pricing / quality of service?</w:t>
      </w:r>
      <w:r w:rsidR="00F77139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F77139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More or less the same</w:t>
      </w:r>
    </w:p>
    <w:p w14:paraId="61F93B57" w14:textId="5D7BE5C4" w:rsidR="00EB1876" w:rsidRDefault="00EB1876" w:rsidP="00EB1876">
      <w:pPr>
        <w:pStyle w:val="Norma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Cost structure of manufacturing plants?</w:t>
      </w:r>
      <w:r w:rsidR="00F77139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172B4E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The bigger the plant the more volume the less fixed/variable costs per kg</w:t>
      </w:r>
    </w:p>
    <w:p w14:paraId="31665990" w14:textId="5296B727" w:rsidR="00EB1876" w:rsidRPr="00B87CCB" w:rsidRDefault="00EB1876" w:rsidP="00EB1876">
      <w:pPr>
        <w:pStyle w:val="Norma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asset utilisation challenges and positioning in expansion market like Poland/Turkey?</w:t>
      </w:r>
      <w:r w:rsidR="00B06153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B06153" w:rsidRPr="00B87CCB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Poland Vita is well positioned. In turkey </w:t>
      </w:r>
      <w:r w:rsidR="00B87CCB" w:rsidRPr="00B87CCB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not like many other EU players are not</w:t>
      </w:r>
      <w:r w:rsidR="00B87CCB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 positioned</w:t>
      </w:r>
      <w:r w:rsidR="00B87CCB" w:rsidRPr="00B87CCB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. </w:t>
      </w:r>
    </w:p>
    <w:p w14:paraId="3E86C4CD" w14:textId="49AD1223" w:rsidR="00EB1876" w:rsidRDefault="00EB1876" w:rsidP="00EB1876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Thoughts on Margin outlook for Vita versus the average margins for the industry - positioned better or worse?</w:t>
      </w:r>
      <w:r w:rsidR="007A4660">
        <w:rPr>
          <w:rFonts w:ascii="Arial" w:hAnsi="Arial" w:cs="Arial"/>
          <w:color w:val="212121"/>
          <w:sz w:val="22"/>
          <w:szCs w:val="22"/>
          <w:lang w:val="en-GB"/>
        </w:rPr>
        <w:t xml:space="preserve"> </w:t>
      </w:r>
      <w:r w:rsidR="007A4660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Apparently the bigger foamers </w:t>
      </w:r>
      <w:r w:rsidR="001232AD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have more difficulties to adapt prices and due to there fixed costs and pla</w:t>
      </w:r>
      <w:r w:rsidR="00131058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 xml:space="preserve">nts they have some difficulty to adapt to volume </w:t>
      </w:r>
      <w:r w:rsidR="00A950A3">
        <w:rPr>
          <w:rFonts w:ascii="Arial" w:hAnsi="Arial" w:cs="Arial"/>
          <w:b/>
          <w:bCs/>
          <w:color w:val="212121"/>
          <w:sz w:val="22"/>
          <w:szCs w:val="22"/>
          <w:lang w:val="en-GB"/>
        </w:rPr>
        <w:t>changes.</w:t>
      </w:r>
    </w:p>
    <w:p w14:paraId="5338BDFE" w14:textId="77777777" w:rsidR="00EB1876" w:rsidRDefault="00EB1876" w:rsidP="00EB1876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Thoughts on Further M&amp;A prospects and industry consolidation?</w:t>
      </w:r>
    </w:p>
    <w:p w14:paraId="42DDAB17" w14:textId="77777777" w:rsidR="00EB1876" w:rsidRDefault="00EB1876" w:rsidP="00EB1876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Thoughts on  Future of Vita - should it be a strategic buyer or a PE buyer? Why / why not?</w:t>
      </w:r>
    </w:p>
    <w:p w14:paraId="4CF967D2" w14:textId="77777777" w:rsidR="00EB187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Potential synergies?</w:t>
      </w:r>
    </w:p>
    <w:p w14:paraId="1710D4A9" w14:textId="77777777" w:rsidR="00EB187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Thoughts on current leadership?</w:t>
      </w:r>
    </w:p>
    <w:p w14:paraId="7BBB040C" w14:textId="77777777" w:rsidR="00EB1876" w:rsidRDefault="00EB1876" w:rsidP="00EB1876">
      <w:pPr>
        <w:pStyle w:val="Norma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Competitive Markets Authority considerations?</w:t>
      </w:r>
    </w:p>
    <w:p w14:paraId="707A9ABE" w14:textId="77777777" w:rsidR="00EB1876" w:rsidRDefault="00EB1876" w:rsidP="00EB1876">
      <w:pPr>
        <w:pStyle w:val="Normaalweb"/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</w:p>
    <w:p w14:paraId="4B6E075A" w14:textId="77777777" w:rsidR="00EB1876" w:rsidRPr="002021CD" w:rsidRDefault="00EB1876" w:rsidP="00EB1876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  <w:t>able to discuss with them:</w:t>
      </w:r>
    </w:p>
    <w:p w14:paraId="571CED5F" w14:textId="77777777" w:rsidR="00EB1876" w:rsidRPr="002021CD" w:rsidRDefault="00EB1876" w:rsidP="00EB1876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  <w:t> </w:t>
      </w:r>
    </w:p>
    <w:p w14:paraId="0BCB4203" w14:textId="77777777" w:rsidR="00EB1876" w:rsidRPr="002021CD" w:rsidRDefault="00EB1876" w:rsidP="00EB1876">
      <w:pPr>
        <w:numPr>
          <w:ilvl w:val="0"/>
          <w:numId w:val="2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Market description / definition</w:t>
      </w:r>
    </w:p>
    <w:p w14:paraId="0FB0212B" w14:textId="77777777" w:rsidR="00EB1876" w:rsidRPr="002021CD" w:rsidRDefault="00EB1876" w:rsidP="00EB1876">
      <w:pPr>
        <w:numPr>
          <w:ilvl w:val="1"/>
          <w:numId w:val="3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How does the business model of the PU foams producers look like?</w:t>
      </w:r>
    </w:p>
    <w:p w14:paraId="72F52B4F" w14:textId="77777777" w:rsidR="00EB1876" w:rsidRPr="002021CD" w:rsidRDefault="00EB1876" w:rsidP="00EB1876">
      <w:pPr>
        <w:numPr>
          <w:ilvl w:val="2"/>
          <w:numId w:val="3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Buying raw materials, foaming, converting this and selling blocks or converted products. Sometime they make also ready products like mattresses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, </w:t>
      </w:r>
    </w:p>
    <w:p w14:paraId="428B7AD9" w14:textId="77777777" w:rsidR="00EB1876" w:rsidRPr="002021CD" w:rsidRDefault="00EB1876" w:rsidP="00EB1876">
      <w:pPr>
        <w:numPr>
          <w:ilvl w:val="1"/>
          <w:numId w:val="3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In brief words – how does the production process/cycle look like?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Go along the chain, Polyol, </w:t>
      </w:r>
      <w:proofErr w:type="spellStart"/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Is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oc</w:t>
      </w:r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yanite</w:t>
      </w:r>
      <w:proofErr w:type="spellEnd"/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, Water addit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i</w:t>
      </w:r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ves, mixed in low or high pressure, laid on a belt, exotherm temperature, cooling down like a bread but than sometime 100 meter to 3 km long, 2 meter width and 1-1,50 meter high. There are different grades like hard, soft, reactive (</w:t>
      </w:r>
      <w:proofErr w:type="spellStart"/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Visocelastic</w:t>
      </w:r>
      <w:proofErr w:type="spellEnd"/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), open cell, closed cell, </w:t>
      </w:r>
      <w:proofErr w:type="spellStart"/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absorbant</w:t>
      </w:r>
      <w:proofErr w:type="spellEnd"/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,  </w:t>
      </w:r>
    </w:p>
    <w:p w14:paraId="7BF4A820" w14:textId="77777777" w:rsidR="00EB1876" w:rsidRPr="002021CD" w:rsidRDefault="00EB1876" w:rsidP="00EB1876">
      <w:pPr>
        <w:numPr>
          <w:ilvl w:val="1"/>
          <w:numId w:val="3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How the distribution look like and what are the key sales channels?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Biggest markets are furniture, bedding, automotive and industrial applications. Spec in at OEM than supply to tear 1,2,3 in the value chain or directly  </w:t>
      </w:r>
    </w:p>
    <w:p w14:paraId="73E2D6E6" w14:textId="77777777" w:rsidR="00EB1876" w:rsidRPr="002021CD" w:rsidRDefault="00EB1876" w:rsidP="00EB1876">
      <w:pPr>
        <w:numPr>
          <w:ilvl w:val="1"/>
          <w:numId w:val="3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Who are the key (direct) clients of the producers?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2021C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As mentioned above give examples per segment</w:t>
      </w:r>
    </w:p>
    <w:p w14:paraId="605B1862" w14:textId="77777777" w:rsidR="00EB1876" w:rsidRPr="002021CD" w:rsidRDefault="00EB1876" w:rsidP="00EB1876">
      <w:pPr>
        <w:numPr>
          <w:ilvl w:val="1"/>
          <w:numId w:val="3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What are the main uses of PU foams?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Building &amp; construction, transportation, furniture &amp; bedding, Packaging, footwear, appliances, electronics</w:t>
      </w:r>
    </w:p>
    <w:p w14:paraId="21C357EC" w14:textId="77777777" w:rsidR="00EB1876" w:rsidRPr="002021CD" w:rsidRDefault="00EB1876" w:rsidP="00EB1876">
      <w:pPr>
        <w:numPr>
          <w:ilvl w:val="1"/>
          <w:numId w:val="3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What are the most important characteristics of foams for its clients?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Soft vs hard, closed cell vs open cell, fluid retention vs revoking, noise/vibration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absorbtion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, comfort (cushioning) </w:t>
      </w:r>
    </w:p>
    <w:p w14:paraId="5E10B6EC" w14:textId="77777777" w:rsidR="00EB1876" w:rsidRPr="002021CD" w:rsidRDefault="00EB1876" w:rsidP="00EB1876">
      <w:pPr>
        <w:numPr>
          <w:ilvl w:val="0"/>
          <w:numId w:val="4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Market size</w:t>
      </w:r>
    </w:p>
    <w:p w14:paraId="424672CC" w14:textId="77777777" w:rsidR="00EB1876" w:rsidRPr="002021CD" w:rsidRDefault="00EB1876" w:rsidP="00EB1876">
      <w:pPr>
        <w:numPr>
          <w:ilvl w:val="1"/>
          <w:numId w:val="5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Market size in Poland and in Europe (as of 2022 or the most recent data available);</w:t>
      </w:r>
    </w:p>
    <w:p w14:paraId="23AEC7A4" w14:textId="77777777" w:rsidR="00EB1876" w:rsidRPr="002021CD" w:rsidRDefault="00EB1876" w:rsidP="00EB1876">
      <w:pPr>
        <w:numPr>
          <w:ilvl w:val="2"/>
          <w:numId w:val="6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In PLN / EUR terms and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Europe €5,1 Bio (=22,7 Bio PLN) in revenue over 168 plant, 24K employees. Poland €500 Mio (2.2 Bio PLN) </w:t>
      </w:r>
    </w:p>
    <w:p w14:paraId="032D95A8" w14:textId="77777777" w:rsidR="00EB1876" w:rsidRPr="002021CD" w:rsidRDefault="00EB1876" w:rsidP="00EB1876">
      <w:pPr>
        <w:numPr>
          <w:ilvl w:val="2"/>
          <w:numId w:val="6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In volumes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Europe1,58 Mio tons of which. Poland 208K tons Poland is the biggest producing country in Europe second is turkey with 200KT and 3</w:t>
      </w:r>
      <w:r w:rsidRPr="00364A20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vertAlign w:val="superscript"/>
          <w:lang w:val="en-US" w:eastAsia="nl-NL"/>
          <w14:ligatures w14:val="none"/>
        </w:rPr>
        <w:t>rd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</w:t>
      </w:r>
    </w:p>
    <w:p w14:paraId="06D2EE8E" w14:textId="77777777" w:rsidR="00EB1876" w:rsidRPr="002021CD" w:rsidRDefault="00EB1876" w:rsidP="00EB1876">
      <w:pPr>
        <w:numPr>
          <w:ilvl w:val="1"/>
          <w:numId w:val="7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Export size for Poland and its dynamics.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75% is exported in furniture and mattresses industry. Average thumb rule 1-1.3 kg per inhabitant usage. Therefore, autonomous consumption is roughly between 40-52K Tons of foams</w:t>
      </w:r>
    </w:p>
    <w:p w14:paraId="65166A9E" w14:textId="77777777" w:rsidR="00EB1876" w:rsidRPr="002021CD" w:rsidRDefault="00EB1876" w:rsidP="00EB1876">
      <w:pPr>
        <w:numPr>
          <w:ilvl w:val="1"/>
          <w:numId w:val="7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What are the key market segments?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For Poland Furniture, mattresses and automotive</w:t>
      </w:r>
    </w:p>
    <w:p w14:paraId="2805269A" w14:textId="77777777" w:rsidR="00EB1876" w:rsidRPr="002021CD" w:rsidRDefault="00EB1876" w:rsidP="00EB1876">
      <w:pPr>
        <w:numPr>
          <w:ilvl w:val="1"/>
          <w:numId w:val="7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lastRenderedPageBreak/>
        <w:t>Is Poland a strong player among other European countries in respect of PU foams production?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It is the largest producing country with 208KT. Also Poland experienced a decline 2021</w:t>
      </w:r>
      <w:r w:rsidRPr="00BC32BD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sym w:font="Wingdings" w:char="F0E0"/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2022 of -10%. Ranking Poland in EEA+UK is Nr 1 with 20.4% including Eurasia and Turkey ranking is also Nr 1 with 15.3%</w:t>
      </w:r>
    </w:p>
    <w:p w14:paraId="68A6AC1F" w14:textId="77777777" w:rsidR="00EB1876" w:rsidRPr="002021CD" w:rsidRDefault="00EB1876" w:rsidP="00EB1876">
      <w:pPr>
        <w:numPr>
          <w:ilvl w:val="0"/>
          <w:numId w:val="8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Market growth </w:t>
      </w:r>
    </w:p>
    <w:p w14:paraId="5D261AB8" w14:textId="77777777" w:rsidR="00EB1876" w:rsidRPr="002021CD" w:rsidRDefault="00EB1876" w:rsidP="00EB1876">
      <w:pPr>
        <w:numPr>
          <w:ilvl w:val="1"/>
          <w:numId w:val="9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Historical market growth rates over last few years;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Market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grwoths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ranging 2-5% over the last 6 years. 2022 showed first time a decline with approx. 10%. 2023 will probably not be better</w:t>
      </w:r>
    </w:p>
    <w:p w14:paraId="19DBEF8B" w14:textId="77777777" w:rsidR="00EB1876" w:rsidRPr="002021CD" w:rsidRDefault="00EB1876" w:rsidP="00EB1876">
      <w:pPr>
        <w:numPr>
          <w:ilvl w:val="1"/>
          <w:numId w:val="9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Expected market growth going forward and its drivers;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Still decline expected till end 2023. 2024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stableised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out on levels of 2023. 2025 potential upturn. Drivers are raw material prices %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availibilty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, drive for sustainable products, economic trust in economic growth depending on rise in costs for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househlds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, inflation, war Ukraine</w:t>
      </w:r>
    </w:p>
    <w:p w14:paraId="25817426" w14:textId="77777777" w:rsidR="00EB1876" w:rsidRPr="002021CD" w:rsidRDefault="00EB1876" w:rsidP="00EB1876">
      <w:pPr>
        <w:numPr>
          <w:ilvl w:val="1"/>
          <w:numId w:val="9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Cyclicality – is market growth cyclical?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Follow the automotive, furniture and bedding industry.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Ingerneral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markets of durable consumer goods</w:t>
      </w:r>
    </w:p>
    <w:p w14:paraId="7251A8AC" w14:textId="77777777" w:rsidR="00EB1876" w:rsidRPr="002021CD" w:rsidRDefault="00EB1876" w:rsidP="00EB1876">
      <w:pPr>
        <w:numPr>
          <w:ilvl w:val="0"/>
          <w:numId w:val="10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How does the ecosystem / value chain look like? </w:t>
      </w:r>
    </w:p>
    <w:p w14:paraId="41C0CAA4" w14:textId="77777777" w:rsidR="00EB1876" w:rsidRPr="002021CD" w:rsidRDefault="00EB1876" w:rsidP="00EB1876">
      <w:pPr>
        <w:numPr>
          <w:ilvl w:val="1"/>
          <w:numId w:val="11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Participants of the value chain and relationships between each step of the value chain</w:t>
      </w:r>
    </w:p>
    <w:p w14:paraId="1C2ACEAC" w14:textId="77777777" w:rsidR="00EB1876" w:rsidRPr="002021CD" w:rsidRDefault="00EB1876" w:rsidP="00EB1876">
      <w:pPr>
        <w:numPr>
          <w:ilvl w:val="1"/>
          <w:numId w:val="11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Offshoring risk (risk of moving production to other countries with cheaper work force)</w:t>
      </w:r>
    </w:p>
    <w:p w14:paraId="31474ED6" w14:textId="77777777" w:rsidR="00EB1876" w:rsidRPr="002021CD" w:rsidRDefault="00EB1876" w:rsidP="00EB1876">
      <w:pPr>
        <w:numPr>
          <w:ilvl w:val="1"/>
          <w:numId w:val="11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Bargaining power vs. customers and suppliers</w:t>
      </w:r>
    </w:p>
    <w:p w14:paraId="17A843FB" w14:textId="77777777" w:rsidR="00EB1876" w:rsidRPr="002021CD" w:rsidRDefault="00EB1876" w:rsidP="00EB1876">
      <w:pPr>
        <w:numPr>
          <w:ilvl w:val="0"/>
          <w:numId w:val="12"/>
        </w:numPr>
        <w:spacing w:line="231" w:lineRule="atLeast"/>
        <w:jc w:val="both"/>
        <w:rPr>
          <w:rFonts w:ascii="Calibri" w:eastAsia="Times New Roman" w:hAnsi="Calibri" w:cs="Calibri"/>
          <w:color w:val="C00000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kern w:val="0"/>
          <w:sz w:val="22"/>
          <w:szCs w:val="22"/>
          <w:lang w:val="en-US" w:eastAsia="nl-NL"/>
          <w14:ligatures w14:val="none"/>
        </w:rPr>
        <w:t>Profitability  </w:t>
      </w:r>
    </w:p>
    <w:p w14:paraId="2D44BEAA" w14:textId="77777777" w:rsidR="00EB1876" w:rsidRPr="002021CD" w:rsidRDefault="00EB1876" w:rsidP="00EB1876">
      <w:pPr>
        <w:numPr>
          <w:ilvl w:val="1"/>
          <w:numId w:val="13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What are the key profitability drivers?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7022B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RM, scale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, efficiency in Prod processes</w:t>
      </w:r>
    </w:p>
    <w:p w14:paraId="4153485D" w14:textId="77777777" w:rsidR="00EB1876" w:rsidRPr="002021CD" w:rsidRDefault="00EB1876" w:rsidP="00EB1876">
      <w:pPr>
        <w:numPr>
          <w:ilvl w:val="1"/>
          <w:numId w:val="13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Typical EBITDA and EBIT margins of the producers?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EBIT raging between 4-7%. EBITDA raging between 6-10% best 15%. Worst 5%</w:t>
      </w:r>
    </w:p>
    <w:p w14:paraId="330BF200" w14:textId="77777777" w:rsidR="00EB1876" w:rsidRPr="002021CD" w:rsidRDefault="00EB1876" w:rsidP="00EB1876">
      <w:pPr>
        <w:numPr>
          <w:ilvl w:val="1"/>
          <w:numId w:val="13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Typical size of CAPEX and investments in working capital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example FP 14 </w:t>
      </w:r>
      <w:proofErr w:type="spellStart"/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mio</w:t>
      </w:r>
      <w:proofErr w:type="spellEnd"/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on 3-4% on revenue</w:t>
      </w:r>
    </w:p>
    <w:p w14:paraId="6C4FB826" w14:textId="77777777" w:rsidR="00EB1876" w:rsidRPr="002021CD" w:rsidRDefault="00EB1876" w:rsidP="00EB1876">
      <w:pPr>
        <w:numPr>
          <w:ilvl w:val="1"/>
          <w:numId w:val="13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Profitability trends over the last couple of years (is it increasing/decreasing/stable?)</w:t>
      </w:r>
    </w:p>
    <w:p w14:paraId="495874F4" w14:textId="77777777" w:rsidR="00EB1876" w:rsidRPr="002021CD" w:rsidRDefault="00EB1876" w:rsidP="00EB1876">
      <w:pPr>
        <w:numPr>
          <w:ilvl w:val="0"/>
          <w:numId w:val="14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Competitive landscape </w:t>
      </w:r>
    </w:p>
    <w:p w14:paraId="618B84E3" w14:textId="77777777" w:rsidR="00EB1876" w:rsidRPr="002021CD" w:rsidRDefault="00EB1876" w:rsidP="00EB1876">
      <w:pPr>
        <w:numPr>
          <w:ilvl w:val="1"/>
          <w:numId w:val="15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How many PU foams producers there are in PL and in EU?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7022B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EU 168, Poland 13</w:t>
      </w:r>
    </w:p>
    <w:p w14:paraId="4075E6E9" w14:textId="77777777" w:rsidR="00EB1876" w:rsidRPr="002021CD" w:rsidRDefault="00EB1876" w:rsidP="00EB1876">
      <w:pPr>
        <w:numPr>
          <w:ilvl w:val="1"/>
          <w:numId w:val="15"/>
        </w:numPr>
        <w:spacing w:line="231" w:lineRule="atLeast"/>
        <w:jc w:val="both"/>
        <w:rPr>
          <w:rFonts w:ascii="Calibri" w:eastAsia="Times New Roman" w:hAnsi="Calibri" w:cs="Calibri"/>
          <w:b/>
          <w:bCs/>
          <w:color w:val="4472C4" w:themeColor="accent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Are the PL and the EU markets consolidated or fragmented?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Partly consolidated. In Poland fragmented</w:t>
      </w:r>
    </w:p>
    <w:p w14:paraId="06284872" w14:textId="77777777" w:rsidR="00EB1876" w:rsidRPr="002021CD" w:rsidRDefault="00EB1876" w:rsidP="00EB1876">
      <w:pPr>
        <w:numPr>
          <w:ilvl w:val="1"/>
          <w:numId w:val="15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key players and their market position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see list </w:t>
      </w:r>
      <w:proofErr w:type="spellStart"/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excell</w:t>
      </w:r>
      <w:proofErr w:type="spellEnd"/>
    </w:p>
    <w:p w14:paraId="5270020C" w14:textId="77777777" w:rsidR="00EB1876" w:rsidRPr="002021CD" w:rsidRDefault="00EB1876" w:rsidP="00EB1876">
      <w:pPr>
        <w:numPr>
          <w:ilvl w:val="0"/>
          <w:numId w:val="16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Market Consolidation </w:t>
      </w:r>
    </w:p>
    <w:p w14:paraId="2E0B6EE3" w14:textId="77777777" w:rsidR="00EB1876" w:rsidRPr="002021CD" w:rsidRDefault="00EB1876" w:rsidP="00EB1876">
      <w:pPr>
        <w:numPr>
          <w:ilvl w:val="1"/>
          <w:numId w:val="17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What are the consolidation benefits?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r w:rsidRPr="007C1503"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scale-synergies, positioning in other geo areas</w:t>
      </w:r>
    </w:p>
    <w:p w14:paraId="07A9BCDB" w14:textId="77777777" w:rsidR="00EB1876" w:rsidRPr="002021CD" w:rsidRDefault="00EB1876" w:rsidP="00EB1876">
      <w:pPr>
        <w:numPr>
          <w:ilvl w:val="1"/>
          <w:numId w:val="17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What are interesting directions for a potential consolidation? E.g. adjacent verticals, technical solutions / products, geographies?</w:t>
      </w:r>
      <w:r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>Backward-Foreward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integration</w:t>
      </w:r>
    </w:p>
    <w:p w14:paraId="15BECE7D" w14:textId="77777777" w:rsidR="00EB1876" w:rsidRPr="002021CD" w:rsidRDefault="00EB1876" w:rsidP="00EB1876">
      <w:pPr>
        <w:numPr>
          <w:ilvl w:val="0"/>
          <w:numId w:val="18"/>
        </w:numPr>
        <w:spacing w:line="231" w:lineRule="atLeast"/>
        <w:jc w:val="both"/>
        <w:rPr>
          <w:rFonts w:ascii="Calibri" w:eastAsia="Times New Roman" w:hAnsi="Calibri" w:cs="Calibri"/>
          <w:color w:val="212121"/>
          <w:kern w:val="0"/>
          <w:sz w:val="22"/>
          <w:szCs w:val="22"/>
          <w:lang w:eastAsia="nl-NL"/>
          <w14:ligatures w14:val="none"/>
        </w:rPr>
      </w:pPr>
      <w:r w:rsidRPr="002021C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nl-NL"/>
          <w14:ligatures w14:val="none"/>
        </w:rPr>
        <w:t>What are the key factors to be successful on this market? What are the key market risks and opportunities?</w:t>
      </w:r>
      <w:r>
        <w:rPr>
          <w:rFonts w:ascii="Calibri" w:eastAsia="Times New Roman" w:hAnsi="Calibri" w:cs="Calibri"/>
          <w:b/>
          <w:bCs/>
          <w:i/>
          <w:iCs/>
          <w:color w:val="4472C4" w:themeColor="accent1"/>
          <w:kern w:val="0"/>
          <w:sz w:val="22"/>
          <w:szCs w:val="22"/>
          <w:lang w:val="en-US" w:eastAsia="nl-NL"/>
          <w14:ligatures w14:val="none"/>
        </w:rPr>
        <w:t xml:space="preserve"> Proximity to OEM’s in development of new products, scale in purchasing RM, Focus on a couple of segments and not all</w:t>
      </w:r>
    </w:p>
    <w:p w14:paraId="54045C56" w14:textId="77777777" w:rsidR="00EB1876" w:rsidRDefault="00EB1876" w:rsidP="00EB1876"/>
    <w:p w14:paraId="572BEE9E" w14:textId="77777777" w:rsidR="00EB1876" w:rsidRDefault="00EB1876" w:rsidP="00EB1876">
      <w:pPr>
        <w:pStyle w:val="Normaalweb"/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</w:p>
    <w:p w14:paraId="06891D2E" w14:textId="77777777" w:rsidR="00FB4A89" w:rsidRDefault="00FB4A89"/>
    <w:sectPr w:rsidR="00FB4A89" w:rsidSect="00A6427F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F4A"/>
    <w:multiLevelType w:val="multilevel"/>
    <w:tmpl w:val="15EE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80F79"/>
    <w:multiLevelType w:val="multilevel"/>
    <w:tmpl w:val="A28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6D3A"/>
    <w:multiLevelType w:val="multilevel"/>
    <w:tmpl w:val="3B0E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F355D"/>
    <w:multiLevelType w:val="multilevel"/>
    <w:tmpl w:val="E63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4880"/>
    <w:multiLevelType w:val="multilevel"/>
    <w:tmpl w:val="2D7C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2544D"/>
    <w:multiLevelType w:val="multilevel"/>
    <w:tmpl w:val="B9C2C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65998"/>
    <w:multiLevelType w:val="multilevel"/>
    <w:tmpl w:val="B7F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46E2E"/>
    <w:multiLevelType w:val="multilevel"/>
    <w:tmpl w:val="745C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219CF"/>
    <w:multiLevelType w:val="multilevel"/>
    <w:tmpl w:val="99E8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F39D1"/>
    <w:multiLevelType w:val="multilevel"/>
    <w:tmpl w:val="88DA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A6B51"/>
    <w:multiLevelType w:val="multilevel"/>
    <w:tmpl w:val="817C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E6A04"/>
    <w:multiLevelType w:val="multilevel"/>
    <w:tmpl w:val="D064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F0DDF"/>
    <w:multiLevelType w:val="multilevel"/>
    <w:tmpl w:val="BA3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028AE"/>
    <w:multiLevelType w:val="multilevel"/>
    <w:tmpl w:val="B2C8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A0CBE"/>
    <w:multiLevelType w:val="multilevel"/>
    <w:tmpl w:val="14EE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D0DAC"/>
    <w:multiLevelType w:val="multilevel"/>
    <w:tmpl w:val="54B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837A4"/>
    <w:multiLevelType w:val="multilevel"/>
    <w:tmpl w:val="B33C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95296"/>
    <w:multiLevelType w:val="multilevel"/>
    <w:tmpl w:val="10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029967">
    <w:abstractNumId w:val="6"/>
  </w:num>
  <w:num w:numId="2" w16cid:durableId="1071152328">
    <w:abstractNumId w:val="14"/>
  </w:num>
  <w:num w:numId="3" w16cid:durableId="1377046159">
    <w:abstractNumId w:val="13"/>
  </w:num>
  <w:num w:numId="4" w16cid:durableId="763184247">
    <w:abstractNumId w:val="3"/>
  </w:num>
  <w:num w:numId="5" w16cid:durableId="1301230841">
    <w:abstractNumId w:val="9"/>
  </w:num>
  <w:num w:numId="6" w16cid:durableId="1721319253">
    <w:abstractNumId w:val="10"/>
  </w:num>
  <w:num w:numId="7" w16cid:durableId="1663315239">
    <w:abstractNumId w:val="16"/>
  </w:num>
  <w:num w:numId="8" w16cid:durableId="2026131295">
    <w:abstractNumId w:val="17"/>
  </w:num>
  <w:num w:numId="9" w16cid:durableId="651832795">
    <w:abstractNumId w:val="12"/>
  </w:num>
  <w:num w:numId="10" w16cid:durableId="1523399570">
    <w:abstractNumId w:val="4"/>
  </w:num>
  <w:num w:numId="11" w16cid:durableId="393509270">
    <w:abstractNumId w:val="2"/>
  </w:num>
  <w:num w:numId="12" w16cid:durableId="969435260">
    <w:abstractNumId w:val="8"/>
  </w:num>
  <w:num w:numId="13" w16cid:durableId="975571892">
    <w:abstractNumId w:val="7"/>
  </w:num>
  <w:num w:numId="14" w16cid:durableId="882986556">
    <w:abstractNumId w:val="11"/>
  </w:num>
  <w:num w:numId="15" w16cid:durableId="568615001">
    <w:abstractNumId w:val="15"/>
  </w:num>
  <w:num w:numId="16" w16cid:durableId="74590843">
    <w:abstractNumId w:val="5"/>
  </w:num>
  <w:num w:numId="17" w16cid:durableId="1596476121">
    <w:abstractNumId w:val="1"/>
  </w:num>
  <w:num w:numId="18" w16cid:durableId="68000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mirrorMargins/>
  <w:proofState w:spelling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76"/>
    <w:rsid w:val="00045B4E"/>
    <w:rsid w:val="00046558"/>
    <w:rsid w:val="00074C23"/>
    <w:rsid w:val="000A69D5"/>
    <w:rsid w:val="000C75C0"/>
    <w:rsid w:val="001232AD"/>
    <w:rsid w:val="00131058"/>
    <w:rsid w:val="00172B4E"/>
    <w:rsid w:val="00173214"/>
    <w:rsid w:val="001B4E9E"/>
    <w:rsid w:val="002D0F37"/>
    <w:rsid w:val="002F5FBF"/>
    <w:rsid w:val="00307F38"/>
    <w:rsid w:val="00324E26"/>
    <w:rsid w:val="00330436"/>
    <w:rsid w:val="003759FD"/>
    <w:rsid w:val="003776C5"/>
    <w:rsid w:val="00381927"/>
    <w:rsid w:val="003A1D3E"/>
    <w:rsid w:val="003A3660"/>
    <w:rsid w:val="003A6BEF"/>
    <w:rsid w:val="003D79D9"/>
    <w:rsid w:val="00404FF5"/>
    <w:rsid w:val="0041570B"/>
    <w:rsid w:val="0045232E"/>
    <w:rsid w:val="00497270"/>
    <w:rsid w:val="004D74E6"/>
    <w:rsid w:val="004E16C1"/>
    <w:rsid w:val="004E329F"/>
    <w:rsid w:val="005059EE"/>
    <w:rsid w:val="00530925"/>
    <w:rsid w:val="00556EBA"/>
    <w:rsid w:val="00557089"/>
    <w:rsid w:val="00562D55"/>
    <w:rsid w:val="00591B23"/>
    <w:rsid w:val="005B5B60"/>
    <w:rsid w:val="00645665"/>
    <w:rsid w:val="006673D8"/>
    <w:rsid w:val="00695598"/>
    <w:rsid w:val="006F22EE"/>
    <w:rsid w:val="007104DD"/>
    <w:rsid w:val="0075698D"/>
    <w:rsid w:val="00771A44"/>
    <w:rsid w:val="007774F8"/>
    <w:rsid w:val="007A4660"/>
    <w:rsid w:val="007C4028"/>
    <w:rsid w:val="007C5E05"/>
    <w:rsid w:val="007F45A7"/>
    <w:rsid w:val="007F4C8C"/>
    <w:rsid w:val="00804808"/>
    <w:rsid w:val="008141A2"/>
    <w:rsid w:val="00844814"/>
    <w:rsid w:val="00877B38"/>
    <w:rsid w:val="00883995"/>
    <w:rsid w:val="008A0AA5"/>
    <w:rsid w:val="008B79BF"/>
    <w:rsid w:val="008F1938"/>
    <w:rsid w:val="0091713D"/>
    <w:rsid w:val="009313C6"/>
    <w:rsid w:val="009C365C"/>
    <w:rsid w:val="00A338A5"/>
    <w:rsid w:val="00A6427F"/>
    <w:rsid w:val="00A7350F"/>
    <w:rsid w:val="00A950A3"/>
    <w:rsid w:val="00AA2E55"/>
    <w:rsid w:val="00AA634D"/>
    <w:rsid w:val="00AF3EFF"/>
    <w:rsid w:val="00B06153"/>
    <w:rsid w:val="00B40FEA"/>
    <w:rsid w:val="00B77D5E"/>
    <w:rsid w:val="00B87CCB"/>
    <w:rsid w:val="00BD3F47"/>
    <w:rsid w:val="00C353E3"/>
    <w:rsid w:val="00C415BF"/>
    <w:rsid w:val="00C47E29"/>
    <w:rsid w:val="00C579C4"/>
    <w:rsid w:val="00C92A15"/>
    <w:rsid w:val="00D26C59"/>
    <w:rsid w:val="00D40501"/>
    <w:rsid w:val="00D41E5D"/>
    <w:rsid w:val="00D577E6"/>
    <w:rsid w:val="00DB597F"/>
    <w:rsid w:val="00DD52CA"/>
    <w:rsid w:val="00E51AA4"/>
    <w:rsid w:val="00E57E63"/>
    <w:rsid w:val="00E66A77"/>
    <w:rsid w:val="00E84ECE"/>
    <w:rsid w:val="00E90981"/>
    <w:rsid w:val="00E928D3"/>
    <w:rsid w:val="00EB1876"/>
    <w:rsid w:val="00EB7949"/>
    <w:rsid w:val="00EC06B6"/>
    <w:rsid w:val="00ED7C29"/>
    <w:rsid w:val="00EF4CFE"/>
    <w:rsid w:val="00F323EC"/>
    <w:rsid w:val="00F47735"/>
    <w:rsid w:val="00F77139"/>
    <w:rsid w:val="00FB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B64167"/>
  <w15:chartTrackingRefBased/>
  <w15:docId w15:val="{D9B15975-3BD8-A64B-A2BB-7BCEA334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B18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5B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1776</Words>
  <Characters>9769</Characters>
  <Application>Microsoft Office Word</Application>
  <DocSecurity>0</DocSecurity>
  <Lines>81</Lines>
  <Paragraphs>23</Paragraphs>
  <ScaleCrop>false</ScaleCrop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Ten Brink</dc:creator>
  <cp:keywords/>
  <dc:description/>
  <cp:lastModifiedBy>Bart Ten Brink</cp:lastModifiedBy>
  <cp:revision>93</cp:revision>
  <dcterms:created xsi:type="dcterms:W3CDTF">2023-09-11T11:24:00Z</dcterms:created>
  <dcterms:modified xsi:type="dcterms:W3CDTF">2023-09-12T09:47:00Z</dcterms:modified>
</cp:coreProperties>
</file>