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60"/>
      </w:pPr>
    </w:p>
    <w:p>
      <w:pPr>
        <w:keepNext/>
        <w:spacing w:before="40" w:after="80"/>
      </w:pPr>
      <w:r>
        <w:rPr>
          <w:rFonts w:ascii="Calibri" w:hAnsi="Calibri" w:eastAsia="Calibri"/>
          <w:b/>
          <w:color w:val="0E8F95"/>
          <w:sz w:val="17"/>
        </w:rPr>
        <w:t>SIGNED INTENT INFRASTRUCTURE</w:t>
      </w:r>
    </w:p>
    <w:p>
      <w:pPr>
        <w:spacing w:after="200"/>
      </w:pPr>
      <w:r>
        <w:rPr>
          <w:rFonts w:ascii="Calibri" w:hAnsi="Calibri" w:eastAsia="Calibri"/>
          <w:b/>
          <w:color w:val="0B1F3A"/>
          <w:sz w:val="68"/>
        </w:rPr>
        <w:t>SODIF</w:t>
      </w:r>
    </w:p>
    <w:p>
      <w:pPr>
        <w:spacing w:after="360"/>
      </w:pPr>
      <w:r>
        <w:rPr>
          <w:rFonts w:ascii="Calibri" w:hAnsi="Calibri" w:eastAsia="Calibri"/>
          <w:b/>
          <w:color w:val="0A6670"/>
          <w:sz w:val="40"/>
        </w:rPr>
        <w:t>Documente semnate transformate în acțiuni API controlate</w:t>
      </w:r>
    </w:p>
    <w:p>
      <w:pPr>
        <w:spacing w:after="440"/>
      </w:pPr>
      <w:r>
        <w:rPr>
          <w:rFonts w:ascii="Calibri" w:hAnsi="Calibri" w:eastAsia="Calibri"/>
          <w:b/>
          <w:color w:val="172B4D"/>
          <w:sz w:val="30"/>
        </w:rPr>
        <w:t>Exact ceea ce s-a semnat. O singură dată.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E8F95"/>
            <w:vAlign w:val="cente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01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21"/>
              </w:rPr>
              <w:t>Signed Intent Security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2E74B5"/>
            <w:vAlign w:val="cente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02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21"/>
              </w:rPr>
              <w:t>Verifiable Document Archive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7452A5"/>
            <w:vAlign w:val="cente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03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/>
                <w:color w:val="FFFFFF"/>
                <w:sz w:val="21"/>
              </w:rPr>
              <w:t>Semantic Execution Gateway</w:t>
            </w:r>
          </w:p>
        </w:tc>
      </w:tr>
    </w:tbl>
    <w:p>
      <w:pPr>
        <w:spacing w:after="3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r>
              <w:rPr>
                <w:rFonts w:ascii="Calibri" w:hAnsi="Calibri" w:eastAsia="Calibri"/>
                <w:b/>
                <w:color w:val="5F6B7A"/>
                <w:sz w:val="18"/>
              </w:rPr>
              <w:t>Categorie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20"/>
              </w:rPr>
              <w:t>Platformă modulară de control al tranzacțiilor document-to-API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r>
              <w:rPr>
                <w:rFonts w:ascii="Calibri" w:hAnsi="Calibri" w:eastAsia="Calibri"/>
                <w:b/>
                <w:color w:val="5F6B7A"/>
                <w:sz w:val="18"/>
              </w:rPr>
              <w:t>Scop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20"/>
              </w:rPr>
              <w:t>Continuitate verificabilă între aprobarea formală și efectul digital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r>
              <w:rPr>
                <w:rFonts w:ascii="Calibri" w:hAnsi="Calibri" w:eastAsia="Calibri"/>
                <w:b/>
                <w:color w:val="5F6B7A"/>
                <w:sz w:val="18"/>
              </w:rPr>
              <w:t>Versiune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20"/>
              </w:rPr>
              <w:t>Prezentare produs • 25.08.2026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Calibri" w:hAnsi="Calibri" w:eastAsia="Calibri"/>
          <w:b w:val="0"/>
          <w:color w:val="172B4D"/>
          <w:sz w:val="2"/>
        </w:rPr>
      </w:r>
    </w:p>
    <w:p>
      <w:pPr>
        <w:keepNext/>
        <w:spacing w:before="40" w:after="80"/>
      </w:pPr>
      <w:r>
        <w:rPr>
          <w:rFonts w:ascii="Calibri" w:hAnsi="Calibri" w:eastAsia="Calibri"/>
          <w:b/>
          <w:color w:val="0E8F95"/>
          <w:sz w:val="17"/>
        </w:rPr>
        <w:t>PRODUSUL ÎNTR-O PAGINĂ</w:t>
      </w:r>
    </w:p>
    <w:p>
      <w:pPr>
        <w:pStyle w:val="Heading1"/>
      </w:pPr>
      <w:r>
        <w:t>De la aprobare la execuție, fără pierderea intenției</w:t>
      </w:r>
    </w:p>
    <w:p>
      <w:pPr>
        <w:spacing w:after="120" w:line="264" w:lineRule="auto"/>
      </w:pPr>
      <w:r>
        <w:rPr>
          <w:rFonts w:ascii="Calibri" w:hAnsi="Calibri" w:eastAsia="Calibri"/>
          <w:b w:val="0"/>
          <w:color w:val="172B4D"/>
          <w:sz w:val="22"/>
        </w:rPr>
        <w:t>SODIF este un strat de control tranzacțional care verifică documentul semnat, confirmă intenția cu efect critic, emite o autorizare criptografică de unică folosință și o verifică direct față de cererea API care urmează să fie executată.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0A6670"/>
                <w:sz w:val="19"/>
              </w:rPr>
              <w:t>Problema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20"/>
              </w:rPr>
              <w:t>Semnătura confirmă documentul, dar nu garantează că sistemul execută exact acțiunea aprobată.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0A6670"/>
                <w:sz w:val="19"/>
              </w:rPr>
              <w:t>Soluția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20"/>
              </w:rPr>
              <w:t>O continuitate criptografică și semantică document → intenție → permis → API.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0A6670"/>
                <w:sz w:val="19"/>
              </w:rPr>
              <w:t>Rezultatul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20"/>
              </w:rPr>
              <w:t>Execuție precisă, nerepetabilă, explicabilă și auditabilă la nivel de tranzacție.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r>
              <w:rPr>
                <w:rFonts w:ascii="Calibri" w:hAnsi="Calibri" w:eastAsia="Calibri"/>
                <w:b/>
                <w:color w:val="0A6670"/>
                <w:sz w:val="19"/>
              </w:rPr>
              <w:t>Principiul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20"/>
              </w:rPr>
              <w:t>AI poate asista interpretarea și prioritizarea controalelor; decizia finală rămâne deterministă și verificabilă.</w:t>
            </w:r>
          </w:p>
        </w:tc>
      </w:tr>
    </w:tbl>
    <w:p>
      <w:pPr>
        <w:pStyle w:val="Heading2"/>
      </w:pPr>
      <w:r>
        <w:t>Promisiunea de produs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Ce a fost aprobat este transpus într-o intenție canonică, cu valorile și limitele relevante explicitate.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Permisul este legat de metoda, ruta, audiența și parametrii acțiunii API; orice abatere este blocată.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Reutilizarea permisului este prevenită, iar fiecare decizie produce un traseu de audit portabil.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AEE7E1"/>
                <w:sz w:val="18"/>
              </w:rPr>
              <w:t>Diferențiator central</w:t>
            </w:r>
          </w:p>
          <w:p>
            <w:r>
              <w:rPr>
                <w:rFonts w:ascii="Calibri" w:hAnsi="Calibri" w:eastAsia="Calibri"/>
                <w:b/>
                <w:color w:val="FFFFFF"/>
                <w:sz w:val="24"/>
              </w:rPr>
              <w:t>Nu securizează doar documentul sau API-ul în mod separat; securizează legătura dintre sensul aprobat și efectul digital exact.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Calibri" w:hAnsi="Calibri" w:eastAsia="Calibri"/>
          <w:b w:val="0"/>
          <w:color w:val="172B4D"/>
          <w:sz w:val="2"/>
        </w:rPr>
      </w:r>
    </w:p>
    <w:p>
      <w:pPr>
        <w:keepNext/>
        <w:spacing w:before="40" w:after="80"/>
      </w:pPr>
      <w:r>
        <w:rPr>
          <w:rFonts w:ascii="Calibri" w:hAnsi="Calibri" w:eastAsia="Calibri"/>
          <w:b/>
          <w:color w:val="0E8F95"/>
          <w:sz w:val="17"/>
        </w:rPr>
        <w:t>ARHITECTURĂ MODULARĂ</w:t>
      </w:r>
    </w:p>
    <w:p>
      <w:pPr>
        <w:pStyle w:val="Heading1"/>
      </w:pPr>
      <w:r>
        <w:t>Trei module, contracte clare, un singur lanț de încredere</w:t>
      </w:r>
    </w:p>
    <w:p>
      <w:pPr>
        <w:spacing w:after="120" w:line="264" w:lineRule="auto"/>
      </w:pPr>
      <w:r>
        <w:rPr>
          <w:rFonts w:ascii="Calibri" w:hAnsi="Calibri" w:eastAsia="Calibri"/>
          <w:b w:val="0"/>
          <w:color w:val="172B4D"/>
          <w:sz w:val="22"/>
        </w:rPr>
        <w:t>Fiecare modul poate funcționa și evolua separat; flight-ul transversal le conectează într-un flux operațional unic.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Modul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Primește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Controlează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Produce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Signed Intent Security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Document semnat + acțiune solicitată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Integritate, semnătură, consens, risc, anti-replay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Decizie + permis unic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Verifiable Document Archive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Document și metadate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Amprentă, revizii, continuitate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Înregistrare și istoric verificabil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Semantic Execution Gateway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Cerere API + permis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Rută, audiență, parametri, politică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Rutare sau blocare motivată</w:t>
            </w:r>
          </w:p>
        </w:tc>
      </w:tr>
    </w:tbl>
    <w:p>
      <w:pPr>
        <w:pStyle w:val="Heading2"/>
      </w:pPr>
      <w:r>
        <w:t>Lanțul tehnic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E8F95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AEE7E1"/>
                <w:sz w:val="17"/>
              </w:rPr>
              <w:t>1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Document semnat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E8F95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AEE7E1"/>
                <w:sz w:val="17"/>
              </w:rPr>
              <w:t>2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Intenție canonică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E8F95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AEE7E1"/>
                <w:sz w:val="17"/>
              </w:rPr>
              <w:t>3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Consens și risc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AEE7E1"/>
                <w:sz w:val="17"/>
              </w:rPr>
              <w:t>4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Permis criptografic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AEE7E1"/>
                <w:sz w:val="17"/>
              </w:rPr>
              <w:t>5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Decizie Gateway</w:t>
            </w:r>
          </w:p>
        </w:tc>
      </w:tr>
    </w:tbl>
    <w:p>
      <w:pPr>
        <w:pStyle w:val="Heading2"/>
      </w:pPr>
      <w:r>
        <w:t>Extensibilitate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Politici, domenii și rute configurabile fără modificarea nucleului de control.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Adaptoare separate pentru semnături, extragere semantică, stocare, Gateway și observabilitate.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Artefacte standard, ușor de integrat: DOCX, JSON, NDJSON, manifest SHA-256 și ZIP.</w:t>
      </w:r>
    </w:p>
    <w:p>
      <w:pPr>
        <w:pageBreakBefore/>
        <w:spacing w:before="0" w:after="0" w:line="20" w:lineRule="exact"/>
      </w:pPr>
      <w:r>
        <w:rPr>
          <w:rFonts w:ascii="Calibri" w:hAnsi="Calibri" w:eastAsia="Calibri"/>
          <w:b w:val="0"/>
          <w:color w:val="172B4D"/>
          <w:sz w:val="2"/>
        </w:rPr>
      </w:r>
    </w:p>
    <w:p>
      <w:pPr>
        <w:keepNext/>
        <w:spacing w:before="40" w:after="80"/>
      </w:pPr>
      <w:r>
        <w:rPr>
          <w:rFonts w:ascii="Calibri" w:hAnsi="Calibri" w:eastAsia="Calibri"/>
          <w:b/>
          <w:color w:val="0E8F95"/>
          <w:sz w:val="17"/>
        </w:rPr>
        <w:t>MECANISM INOVATOR</w:t>
      </w:r>
    </w:p>
    <w:p>
      <w:pPr>
        <w:pStyle w:val="Heading1"/>
      </w:pPr>
      <w:r>
        <w:t>Autorizarea acțiunii API prin continuitatea intenției semnate</w:t>
      </w:r>
    </w:p>
    <w:p>
      <w:pPr>
        <w:spacing w:after="120" w:line="264" w:lineRule="auto"/>
      </w:pPr>
      <w:r>
        <w:rPr>
          <w:rFonts w:ascii="Calibri" w:hAnsi="Calibri" w:eastAsia="Calibri"/>
          <w:b w:val="0"/>
          <w:color w:val="172B4D"/>
          <w:sz w:val="22"/>
        </w:rPr>
        <w:t>SODIF mută controlul de la simpla validare a identității către validarea efectului: aceeași intenție trebuie să rămână coerentă în document, în reprezentările interpretate, în permis și în cererea API.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Mecanism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Efect operațional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Consens semantic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Compară reprezentări independente ale valorilor critice.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Ambiguitatea sau conflictul oprește autorizarea.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Verificare adaptivă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Extinde controlul numai când riscul sau neconcordanța o cer.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Reduce procesarea fără a relaxa siguranța.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Legare criptografică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Permisul include amprenta intenției și constrângerile API.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Parametrii modificați nu mai corespund aprobării.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Unică folosință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Registrul de consum previne reutilizarea permisului.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Repetarea accidentală sau malițioasă este blocată.</w:t>
            </w:r>
          </w:p>
        </w:tc>
      </w:tr>
    </w:tbl>
    <w:p>
      <w:pPr>
        <w:pStyle w:val="Heading2"/>
      </w:pPr>
      <w:r>
        <w:t>Delimitare față de soluțiile uzuale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Semnătura electronică validează documentul; SODIF controlează și acțiunea digitală derivată din el.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Un API Gateway clasic aplică politici de acces și trafic; SODIF verifică și coerența tranzacției cu intenția aprobată.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Soluțiile de analiză semantică interpretează conținutul; SODIF transformă rezultatul verificabil într-un drept de execuție unic.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Arhiva păstrează documentul; SODIF leagă revizia arhivată de autorizare și de decizia Gateway.</w:t>
      </w:r>
    </w:p>
    <w:p>
      <w:pPr>
        <w:pageBreakBefore/>
        <w:spacing w:before="0" w:after="0" w:line="20" w:lineRule="exact"/>
      </w:pPr>
      <w:r>
        <w:rPr>
          <w:rFonts w:ascii="Calibri" w:hAnsi="Calibri" w:eastAsia="Calibri"/>
          <w:b w:val="0"/>
          <w:color w:val="172B4D"/>
          <w:sz w:val="2"/>
        </w:rPr>
      </w:r>
    </w:p>
    <w:p>
      <w:pPr>
        <w:keepNext/>
        <w:spacing w:before="40" w:after="80"/>
      </w:pPr>
      <w:r>
        <w:rPr>
          <w:rFonts w:ascii="Calibri" w:hAnsi="Calibri" w:eastAsia="Calibri"/>
          <w:b/>
          <w:color w:val="0E8F95"/>
          <w:sz w:val="17"/>
        </w:rPr>
        <w:t>EXPERIENȚĂ DE PRODUS</w:t>
      </w:r>
    </w:p>
    <w:p>
      <w:pPr>
        <w:pStyle w:val="Heading1"/>
      </w:pPr>
      <w:r>
        <w:t>O platformă coerentă, configurată pentru contextul organizației</w:t>
      </w:r>
    </w:p>
    <w:p>
      <w:pPr>
        <w:spacing w:after="120" w:line="264" w:lineRule="auto"/>
      </w:pPr>
      <w:r>
        <w:rPr>
          <w:rFonts w:ascii="Calibri" w:hAnsi="Calibri" w:eastAsia="Calibri"/>
          <w:b w:val="0"/>
          <w:color w:val="172B4D"/>
          <w:sz w:val="22"/>
        </w:rPr>
        <w:t>Interfața separă modulele și operațiunile, păstrând în același timp contextul activ al organizației, domeniului, serviciului și politicii de rutare.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rFonts w:ascii="Calibri" w:hAnsi="Calibri" w:eastAsia="Calibri"/>
          <w:b w:val="0"/>
          <w:color w:val="5F6B7A"/>
          <w:sz w:val="17"/>
        </w:rPr>
        <w:t>Pagina principală — promisiunea de produs și accesul direct la cele trei module.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figu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rFonts w:ascii="Calibri" w:hAnsi="Calibri" w:eastAsia="Calibri"/>
          <w:b w:val="0"/>
          <w:color w:val="5F6B7A"/>
          <w:sz w:val="17"/>
        </w:rPr>
        <w:t>Configurare operațională — valori preconfigurate, validate și păstrate în sesiunea curentă.</w:t>
      </w:r>
    </w:p>
    <w:p>
      <w:pPr>
        <w:pageBreakBefore/>
        <w:spacing w:before="0" w:after="0" w:line="20" w:lineRule="exact"/>
      </w:pPr>
      <w:r>
        <w:rPr>
          <w:rFonts w:ascii="Calibri" w:hAnsi="Calibri" w:eastAsia="Calibri"/>
          <w:b w:val="0"/>
          <w:color w:val="172B4D"/>
          <w:sz w:val="2"/>
        </w:rPr>
      </w:r>
    </w:p>
    <w:p>
      <w:pPr>
        <w:keepNext/>
        <w:spacing w:before="40" w:after="80"/>
      </w:pPr>
      <w:r>
        <w:rPr>
          <w:rFonts w:ascii="Calibri" w:hAnsi="Calibri" w:eastAsia="Calibri"/>
          <w:b/>
          <w:color w:val="0E8F95"/>
          <w:sz w:val="17"/>
        </w:rPr>
        <w:t>FLIGHT OPERAȚIONAL 01</w:t>
      </w:r>
    </w:p>
    <w:p>
      <w:pPr>
        <w:pStyle w:val="Heading1"/>
      </w:pPr>
      <w:r>
        <w:t>Security Flight — nucleul de securitate al intenției</w:t>
      </w:r>
    </w:p>
    <w:p>
      <w:pPr>
        <w:spacing w:after="120" w:line="264" w:lineRule="auto"/>
      </w:pPr>
      <w:r>
        <w:rPr>
          <w:rFonts w:ascii="Calibri" w:hAnsi="Calibri" w:eastAsia="Calibri"/>
          <w:b w:val="0"/>
          <w:color w:val="172B4D"/>
          <w:sz w:val="22"/>
        </w:rPr>
        <w:t>Rulează independent de arhiva documentară și Gateway pentru a valida mecanismele esențiale de autorizare document-to-API.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cur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rFonts w:ascii="Calibri" w:hAnsi="Calibri" w:eastAsia="Calibri"/>
          <w:b w:val="0"/>
          <w:color w:val="5F6B7A"/>
          <w:sz w:val="17"/>
        </w:rPr>
        <w:t>Signed Intent Security — contractul modulului și controalele esențiale.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7"/>
              </w:rPr>
              <w:t>Situație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7"/>
              </w:rPr>
              <w:t>Control exercitat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7"/>
              </w:rPr>
              <w:t>Rezultat așteptat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Tranzacție conformă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Verificare + consens + permis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Autorizare exactă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Confirmare adaptivă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Control suplimentar la semnal slab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Autorizare motivată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Document modificat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Integritate și semnătură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Blocare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Conflict semantic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Reprezentări independente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Blocare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Acțiune modificată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Legarea permis–API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Blocare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Reutilizare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Barieră anti-replay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Blocare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Calibri" w:hAnsi="Calibri" w:eastAsia="Calibri"/>
          <w:b w:val="0"/>
          <w:color w:val="172B4D"/>
          <w:sz w:val="2"/>
        </w:rPr>
      </w:r>
    </w:p>
    <w:p>
      <w:pPr>
        <w:keepNext/>
        <w:spacing w:before="40" w:after="80"/>
      </w:pPr>
      <w:r>
        <w:rPr>
          <w:rFonts w:ascii="Calibri" w:hAnsi="Calibri" w:eastAsia="Calibri"/>
          <w:b/>
          <w:color w:val="0E8F95"/>
          <w:sz w:val="17"/>
        </w:rPr>
        <w:t>FLIGHT OPERAȚIONAL 02</w:t>
      </w:r>
    </w:p>
    <w:p>
      <w:pPr>
        <w:pStyle w:val="Heading1"/>
      </w:pPr>
      <w:r>
        <w:t>Transversal Flight — control end-to-end în toate modulele</w:t>
      </w:r>
    </w:p>
    <w:p>
      <w:pPr>
        <w:spacing w:after="120" w:line="264" w:lineRule="auto"/>
      </w:pPr>
      <w:r>
        <w:rPr>
          <w:rFonts w:ascii="Calibri" w:hAnsi="Calibri" w:eastAsia="Calibri"/>
          <w:b w:val="0"/>
          <w:color w:val="172B4D"/>
          <w:sz w:val="22"/>
        </w:rPr>
        <w:t>Extinde același catalog de tranzacții prin înregistrarea reviziilor în arhivă, verificarea continuității documentare și aplicarea politicii în Gateway înainte de rutarea către serviciul protejat.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ansversal_flig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rFonts w:ascii="Calibri" w:hAnsi="Calibri" w:eastAsia="Calibri"/>
          <w:b w:val="0"/>
          <w:color w:val="5F6B7A"/>
          <w:sz w:val="17"/>
        </w:rPr>
        <w:t>Centrul de control — două flight-uri separate și rezultatul rulării transversale.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172B4D"/>
                <w:sz w:val="18"/>
              </w:rPr>
              <w:t>Security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8"/>
              </w:rPr>
              <w:t>Documentul, intenția și dreptul de execuție sunt validate.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r>
              <w:rPr>
                <w:rFonts w:ascii="Calibri" w:hAnsi="Calibri" w:eastAsia="Calibri"/>
                <w:b/>
                <w:color w:val="172B4D"/>
                <w:sz w:val="18"/>
              </w:rPr>
              <w:t>Archive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8"/>
              </w:rPr>
              <w:t>Revizia exactă și continuarea istoricului sunt înregistrate verificabil.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1ECF8"/>
          </w:tcPr>
          <w:p>
            <w:r>
              <w:rPr>
                <w:rFonts w:ascii="Calibri" w:hAnsi="Calibri" w:eastAsia="Calibri"/>
                <w:b/>
                <w:color w:val="172B4D"/>
                <w:sz w:val="18"/>
              </w:rPr>
              <w:t>Gateway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8"/>
              </w:rPr>
              <w:t>Permisul, ruta, audiența și acțiunea sunt verificate înainte de rutare.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F2F4F7"/>
          </w:tcPr>
          <w:p>
            <w:r>
              <w:rPr>
                <w:rFonts w:ascii="Calibri" w:hAnsi="Calibri" w:eastAsia="Calibri"/>
                <w:b/>
                <w:color w:val="172B4D"/>
                <w:sz w:val="18"/>
              </w:rPr>
              <w:t>Audit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8"/>
              </w:rPr>
              <w:t>Deciziile și identificatorii sunt reunite într-un pachet portabil.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Calibri" w:hAnsi="Calibri" w:eastAsia="Calibri"/>
          <w:b w:val="0"/>
          <w:color w:val="172B4D"/>
          <w:sz w:val="2"/>
        </w:rPr>
      </w:r>
    </w:p>
    <w:p>
      <w:pPr>
        <w:keepNext/>
        <w:spacing w:before="40" w:after="80"/>
      </w:pPr>
      <w:r>
        <w:rPr>
          <w:rFonts w:ascii="Calibri" w:hAnsi="Calibri" w:eastAsia="Calibri"/>
          <w:b/>
          <w:color w:val="0E8F95"/>
          <w:sz w:val="17"/>
        </w:rPr>
        <w:t>ENFORCEMENT LA LIMITA API</w:t>
      </w:r>
    </w:p>
    <w:p>
      <w:pPr>
        <w:pStyle w:val="Heading1"/>
      </w:pPr>
      <w:r>
        <w:t>Semantic Execution Gateway</w:t>
      </w:r>
    </w:p>
    <w:p>
      <w:pPr>
        <w:spacing w:after="120" w:line="264" w:lineRule="auto"/>
      </w:pPr>
      <w:r>
        <w:rPr>
          <w:rFonts w:ascii="Calibri" w:hAnsi="Calibri" w:eastAsia="Calibri"/>
          <w:b w:val="0"/>
          <w:color w:val="172B4D"/>
          <w:sz w:val="22"/>
        </w:rPr>
        <w:t>Gateway-ul aplică decizia la punctul în care tranzacția poate produce efect, folosind atât politici clasice de rutare, cât și constrângerile semantice și criptografice ale permisului.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atewa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rFonts w:ascii="Calibri" w:hAnsi="Calibri" w:eastAsia="Calibri"/>
          <w:b w:val="0"/>
          <w:color w:val="5F6B7A"/>
          <w:sz w:val="17"/>
        </w:rPr>
        <w:t>Gateway Policy Studio — evaluarea unei tranzacții în raport cu ruta protejată.</w:t>
      </w:r>
    </w:p>
    <w:p>
      <w:pPr>
        <w:pStyle w:val="Heading2"/>
      </w:pPr>
      <w:r>
        <w:t>Decizie deterministă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Ruta și metoda trebuie să corespundă exact dreptului de execuție emis.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Audiența și parametrii critici sunt validați înainte ca cererea să ajungă la serviciu.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Permisul consumat, expirat sau modificat este respins înainte de rutare.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Calibri"/>
          <w:b w:val="0"/>
          <w:color w:val="172B4D"/>
          <w:sz w:val="22"/>
        </w:rPr>
        <w:t>Fiecare acceptare sau blocare include motiv, identificator și amprentă verificabilă.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0A6670"/>
                <w:sz w:val="21"/>
              </w:rPr>
              <w:t>Gateway-ul nu este o extensie decorativă: este locul în care intenția semnată devine o constrângere executabilă.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Calibri" w:hAnsi="Calibri" w:eastAsia="Calibri"/>
          <w:b w:val="0"/>
          <w:color w:val="172B4D"/>
          <w:sz w:val="2"/>
        </w:rPr>
      </w:r>
    </w:p>
    <w:p>
      <w:pPr>
        <w:keepNext/>
        <w:spacing w:before="40" w:after="80"/>
      </w:pPr>
      <w:r>
        <w:rPr>
          <w:rFonts w:ascii="Calibri" w:hAnsi="Calibri" w:eastAsia="Calibri"/>
          <w:b/>
          <w:color w:val="0E8F95"/>
          <w:sz w:val="17"/>
        </w:rPr>
        <w:t>AUDIT PORTABIL</w:t>
      </w:r>
    </w:p>
    <w:p>
      <w:pPr>
        <w:pStyle w:val="Heading1"/>
      </w:pPr>
      <w:r>
        <w:t>Fiecare rulare se încheie cu un pachet verificabil</w:t>
      </w:r>
    </w:p>
    <w:p>
      <w:pPr>
        <w:spacing w:after="120" w:line="264" w:lineRule="auto"/>
      </w:pPr>
      <w:r>
        <w:rPr>
          <w:rFonts w:ascii="Calibri" w:hAnsi="Calibri" w:eastAsia="Calibri"/>
          <w:b w:val="0"/>
          <w:color w:val="172B4D"/>
          <w:sz w:val="22"/>
        </w:rPr>
        <w:t>Atât Security Flight, cât și Transversal Flight generează automat artefacte complete, organizate separat pe sesiune, tip de flux și identificatorul rulării.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dit_expo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rFonts w:ascii="Calibri" w:hAnsi="Calibri" w:eastAsia="Calibri"/>
          <w:b w:val="0"/>
          <w:color w:val="5F6B7A"/>
          <w:sz w:val="17"/>
        </w:rPr>
        <w:t>Audit și exporturi — rezultat operațional, integritate și pachet descărcabil.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Utilizare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DOCX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Raport operațional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Prezentare, revizuire și includere în documentație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JSON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Date structurate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Procesare și integrare automată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NDJSON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Jurnal tehnic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SIEM, observabilitate și audit cronologic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Manifest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Integritate SHA-256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Verificarea independentă a fișierelor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2F8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ZIP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Pachet portabil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Transfer, arhivare și verificare unitară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Calibri" w:hAnsi="Calibri" w:eastAsia="Calibri"/>
          <w:b w:val="0"/>
          <w:color w:val="172B4D"/>
          <w:sz w:val="2"/>
        </w:rPr>
      </w:r>
    </w:p>
    <w:p>
      <w:pPr>
        <w:keepNext/>
        <w:spacing w:before="40" w:after="80"/>
      </w:pPr>
      <w:r>
        <w:rPr>
          <w:rFonts w:ascii="Calibri" w:hAnsi="Calibri" w:eastAsia="Calibri"/>
          <w:b/>
          <w:color w:val="0E8F95"/>
          <w:sz w:val="17"/>
        </w:rPr>
        <w:t>APLICABILITATE ȘI EVOLUȚIE</w:t>
      </w:r>
    </w:p>
    <w:p>
      <w:pPr>
        <w:pStyle w:val="Heading1"/>
      </w:pPr>
      <w:r>
        <w:t>Pragmatism imediat, extensibilitate controlată</w:t>
      </w:r>
    </w:p>
    <w:p>
      <w:pPr>
        <w:pStyle w:val="Heading2"/>
      </w:pPr>
      <w:r>
        <w:t>Cazuri de utilizare prioritare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Domeniu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Acțiune protejată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Achiziții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Comandă / aprobare de achiziție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Creare comandă în ERP, cu valori și furnizor identice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Financiar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Ordin sau aprobare de plată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Inițiere plată în limitele aprobate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EAF6F5"/>
          </w:tcPr>
          <w:p>
            <w:r>
              <w:rPr>
                <w:rFonts w:ascii="Calibri" w:hAnsi="Calibri" w:eastAsia="Calibri"/>
                <w:b/>
                <w:color w:val="172B4D"/>
                <w:sz w:val="17"/>
              </w:rPr>
              <w:t>Operațiuni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Ordin de intervenție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 w:val="0"/>
                <w:color w:val="172B4D"/>
                <w:sz w:val="17"/>
              </w:rPr>
              <w:t>Programare sau activare controlată în sistemul țintă</w:t>
            </w:r>
          </w:p>
        </w:tc>
      </w:tr>
    </w:tbl>
    <w:p>
      <w:pPr>
        <w:pStyle w:val="Heading2"/>
      </w:pPr>
      <w:r>
        <w:t>Extensii cu impact ridicat și efort controlat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E8F95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24"/>
              </w:rPr>
              <w:t>1</w:t>
            </w:r>
          </w:p>
        </w:tc>
        <w:tc>
          <w:tcPr>
            <w:tcW w:type="dxa" w:w="85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/>
                <w:color w:val="172B4D"/>
                <w:sz w:val="19"/>
              </w:rPr>
              <w:t>Policy Simulation &amp; Semantic Diff</w:t>
            </w:r>
          </w:p>
          <w:p>
            <w:r>
              <w:rPr>
                <w:rFonts w:ascii="Calibri" w:hAnsi="Calibri" w:eastAsia="Calibri"/>
                <w:b w:val="0"/>
                <w:color w:val="5F6B7A"/>
                <w:sz w:val="17"/>
              </w:rPr>
              <w:t>Compară două versiuni de politică pe tranzacțiile arhivate și arată ce decizii s-ar schimba, fără execuție. Crește inovativitatea, explicabilitatea și utilitatea operațională.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E8F95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24"/>
              </w:rPr>
              <w:t>2</w:t>
            </w:r>
          </w:p>
        </w:tc>
        <w:tc>
          <w:tcPr>
            <w:tcW w:type="dxa" w:w="85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/>
                <w:color w:val="172B4D"/>
                <w:sz w:val="19"/>
              </w:rPr>
              <w:t>Live Transaction Inbox + adaptor Gateway</w:t>
            </w:r>
          </w:p>
          <w:p>
            <w:r>
              <w:rPr>
                <w:rFonts w:ascii="Calibri" w:hAnsi="Calibri" w:eastAsia="Calibri"/>
                <w:b w:val="0"/>
                <w:color w:val="5F6B7A"/>
                <w:sz w:val="17"/>
              </w:rPr>
              <w:t>Primește tranzacții prin upload, webhook sau API și le trece prin lanțul real până la un serviciu protejat. Crește realismul și aplicabilitatea.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24"/>
              </w:rPr>
              <w:t>3</w:t>
            </w:r>
          </w:p>
        </w:tc>
        <w:tc>
          <w:tcPr>
            <w:tcW w:type="dxa" w:w="85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/>
                <w:color w:val="172B4D"/>
                <w:sz w:val="19"/>
              </w:rPr>
              <w:t>Registru anti-tamper al rulărilor</w:t>
            </w:r>
          </w:p>
          <w:p>
            <w:r>
              <w:rPr>
                <w:rFonts w:ascii="Calibri" w:hAnsi="Calibri" w:eastAsia="Calibri"/>
                <w:b w:val="0"/>
                <w:color w:val="5F6B7A"/>
                <w:sz w:val="17"/>
              </w:rPr>
              <w:t>Leagă criptografic pachetele succesive și permite verificarea independentă a istoricului. Întărește auditul cu implementare relativ redusă.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24"/>
              </w:rPr>
              <w:t>4</w:t>
            </w:r>
          </w:p>
        </w:tc>
        <w:tc>
          <w:tcPr>
            <w:tcW w:type="dxa" w:w="85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</w:tcPr>
          <w:p>
            <w:r>
              <w:rPr>
                <w:rFonts w:ascii="Calibri" w:hAnsi="Calibri" w:eastAsia="Calibri"/>
                <w:b/>
                <w:color w:val="172B4D"/>
                <w:sz w:val="19"/>
              </w:rPr>
              <w:t>Adaptive Assurance Optimizer</w:t>
            </w:r>
          </w:p>
          <w:p>
            <w:r>
              <w:rPr>
                <w:rFonts w:ascii="Calibri" w:hAnsi="Calibri" w:eastAsia="Calibri"/>
                <w:b w:val="0"/>
                <w:color w:val="5F6B7A"/>
                <w:sz w:val="17"/>
              </w:rPr>
              <w:t>Selectează setul minim de verificări în funcție de risc, încredere și cost și explică economia de procesare. AI asistă, iar autorizarea rămâne deterministă.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D8E0E8"/>
              <w:left w:val="single" w:sz="6" w:color="D8E0E8"/>
              <w:bottom w:val="single" w:sz="6" w:color="D8E0E8"/>
              <w:right w:val="single" w:sz="6" w:color="D8E0E8"/>
            </w:tcBorders>
            <w:shd w:fill="0B1F3A"/>
          </w:tcPr>
          <w:p>
            <w:r>
              <w:rPr>
                <w:rFonts w:ascii="Calibri" w:hAnsi="Calibri" w:eastAsia="Calibri"/>
                <w:b/>
                <w:color w:val="AEE7E1"/>
                <w:sz w:val="18"/>
              </w:rPr>
              <w:t>Recomandare imediată</w:t>
            </w:r>
          </w:p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Prioritate: Policy Simulation &amp; Semantic Diff; apoi Live Transaction Inbox.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color w:val="5F6B7A"/>
        <w:sz w:val="16"/>
      </w:rPr>
      <w:t xml:space="preserve">SODIF  •  </w:t>
    </w:r>
    <w:r>
      <w:rPr>
        <w:rFonts w:ascii="Calibri" w:hAnsi="Calibri" w:eastAsia="Calibri"/>
        <w:b w:val="0"/>
        <w:color w:val="5F6B7A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color w:val="5F6B7A"/>
        <w:sz w:val="16"/>
      </w:rPr>
      <w:t xml:space="preserve">SODIF  •  </w:t>
    </w:r>
    <w:r>
      <w:rPr>
        <w:rFonts w:ascii="Calibri" w:hAnsi="Calibri" w:eastAsia="Calibri"/>
        <w:b w:val="0"/>
        <w:color w:val="5F6B7A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472"/>
      <w:gridCol w:w="3888"/>
    </w:tblGrid>
    <w:tr>
      <w:tc>
        <w:tcPr>
          <w:tcW w:type="dxa" w:w="4680"/>
          <w:tcBorders>
            <w:top w:val="single" w:sz="0" w:color="FFFFFF"/>
            <w:left w:val="single" w:sz="0" w:color="FFFFFF"/>
            <w:bottom w:val="single" w:sz="0" w:color="FFFFFF"/>
            <w:right w:val="single" w:sz="0" w:color="FFFFFF"/>
          </w:tcBorders>
          <w:tcMar>
            <w:top w:w="0" w:type="dxa"/>
            <w:start w:w="0" w:type="dxa"/>
            <w:bottom w:w="0" w:type="dxa"/>
            <w:end w:w="0" w:type="dxa"/>
          </w:tcMar>
        </w:tcPr>
        <w:p>
          <w:r>
            <w:rPr>
              <w:rFonts w:ascii="Calibri" w:hAnsi="Calibri" w:eastAsia="Calibri"/>
              <w:b/>
              <w:color w:val="0B1F3A"/>
              <w:sz w:val="17"/>
            </w:rPr>
            <w:t>SODIF</w:t>
          </w:r>
        </w:p>
      </w:tc>
      <w:tc>
        <w:tcPr>
          <w:tcW w:type="dxa" w:w="4680"/>
          <w:tcBorders>
            <w:top w:val="single" w:sz="0" w:color="FFFFFF"/>
            <w:left w:val="single" w:sz="0" w:color="FFFFFF"/>
            <w:bottom w:val="single" w:sz="0" w:color="FFFFFF"/>
            <w:right w:val="single" w:sz="0" w:color="FFFFFF"/>
          </w:tcBorders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alibri" w:hAnsi="Calibri" w:eastAsia="Calibri"/>
              <w:b/>
              <w:color w:val="0E8F95"/>
              <w:sz w:val="15"/>
            </w:rPr>
            <w:t>SIGNED INTENT INFRASTRUCTURE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472"/>
      <w:gridCol w:w="3888"/>
    </w:tblGrid>
    <w:tr>
      <w:tc>
        <w:tcPr>
          <w:tcW w:type="dxa" w:w="4680"/>
          <w:shd w:fill="0B1F3A"/>
          <w:tcBorders>
            <w:top w:val="single" w:sz="0" w:color="0B1F3A"/>
            <w:left w:val="single" w:sz="0" w:color="0B1F3A"/>
            <w:bottom w:val="single" w:sz="0" w:color="0B1F3A"/>
            <w:right w:val="single" w:sz="0" w:color="0B1F3A"/>
          </w:tcBorders>
          <w:tcMar>
            <w:top w:w="60" w:type="dxa"/>
            <w:start w:w="100" w:type="dxa"/>
            <w:bottom w:w="60" w:type="dxa"/>
            <w:end w:w="100" w:type="dxa"/>
          </w:tcMar>
        </w:tcPr>
        <w:p>
          <w:r>
            <w:rPr>
              <w:rFonts w:ascii="Calibri" w:hAnsi="Calibri" w:eastAsia="Calibri"/>
              <w:b/>
              <w:color w:val="FFFFFF"/>
              <w:sz w:val="18"/>
            </w:rPr>
            <w:t>SODIF</w:t>
          </w:r>
        </w:p>
      </w:tc>
      <w:tc>
        <w:tcPr>
          <w:tcW w:type="dxa" w:w="4680"/>
          <w:shd w:fill="0B1F3A"/>
          <w:tcBorders>
            <w:top w:val="single" w:sz="0" w:color="0B1F3A"/>
            <w:left w:val="single" w:sz="0" w:color="0B1F3A"/>
            <w:bottom w:val="single" w:sz="0" w:color="0B1F3A"/>
            <w:right w:val="single" w:sz="0" w:color="0B1F3A"/>
          </w:tcBorders>
          <w:tcMar>
            <w:top w:w="60" w:type="dxa"/>
            <w:start w:w="100" w:type="dxa"/>
            <w:bottom w:w="60" w:type="dxa"/>
            <w:end w:w="100" w:type="dxa"/>
          </w:tcMar>
        </w:tcPr>
        <w:p>
          <w:pPr>
            <w:jc w:val="right"/>
          </w:pPr>
          <w:r>
            <w:rPr>
              <w:rFonts w:ascii="Calibri" w:hAnsi="Calibri" w:eastAsia="Calibri"/>
              <w:b/>
              <w:color w:val="AEE7E1"/>
              <w:sz w:val="16"/>
            </w:rPr>
            <w:t>PRODUCT BRIEF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color w:val="172B4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1F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SODIF — Signed Intent Infrastructure</dc:title>
  <dc:subject>Prezentare profesională a platformei SODIF</dc:subject>
  <dc:creator>SODIF</dc:creator>
  <cp:keywords>signed intent, semantic security, API gateway, document archive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