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</w:pPr>
      <w:r>
        <w:rPr>
          <w:rFonts w:ascii="Calibri" w:hAnsi="Calibri" w:eastAsia="Calibri"/>
          <w:b w:val="0"/>
          <w:i w:val="0"/>
          <w:color w:val="172B4D"/>
          <w:sz w:val="2"/>
        </w:rPr>
      </w:r>
    </w:p>
    <w:p>
      <w:pPr>
        <w:spacing w:before="0" w:after="240" w:line="264" w:lineRule="auto"/>
      </w:pPr>
      <w:r>
        <w:rPr>
          <w:rFonts w:ascii="Calibri" w:hAnsi="Calibri" w:eastAsia="Calibri"/>
          <w:b w:val="0"/>
          <w:i w:val="0"/>
          <w:color w:val="172B4D"/>
          <w:sz w:val="2"/>
        </w:rPr>
      </w:r>
    </w:p>
    <w:p>
      <w:pPr>
        <w:spacing w:before="0" w:after="240" w:line="264" w:lineRule="auto"/>
      </w:pPr>
      <w:r>
        <w:rPr>
          <w:rFonts w:ascii="Calibri" w:hAnsi="Calibri" w:eastAsia="Calibri"/>
          <w:b w:val="0"/>
          <w:i w:val="0"/>
          <w:color w:val="172B4D"/>
          <w:sz w:val="2"/>
        </w:rPr>
      </w:r>
    </w:p>
    <w:p>
      <w:pPr>
        <w:spacing w:before="0" w:after="240" w:line="264" w:lineRule="auto"/>
      </w:pPr>
      <w:r>
        <w:rPr>
          <w:rFonts w:ascii="Calibri" w:hAnsi="Calibri" w:eastAsia="Calibri"/>
          <w:b w:val="0"/>
          <w:i w:val="0"/>
          <w:color w:val="172B4D"/>
          <w:sz w:val="2"/>
        </w:rPr>
      </w:r>
    </w:p>
    <w:p>
      <w:pPr>
        <w:spacing w:before="0" w:after="240" w:line="264" w:lineRule="auto"/>
      </w:pPr>
      <w:r>
        <w:rPr>
          <w:rFonts w:ascii="Calibri" w:hAnsi="Calibri" w:eastAsia="Calibri"/>
          <w:b w:val="0"/>
          <w:i w:val="0"/>
          <w:color w:val="172B4D"/>
          <w:sz w:val="2"/>
        </w:rPr>
      </w:r>
    </w:p>
    <w:p>
      <w:pPr>
        <w:spacing w:before="0" w:after="320" w:line="264" w:lineRule="auto"/>
        <w:jc w:val="center"/>
      </w:pPr>
      <w:r>
        <w:rPr>
          <w:rFonts w:ascii="Calibri" w:hAnsi="Calibri" w:eastAsia="Calibri"/>
          <w:b/>
          <w:i w:val="0"/>
          <w:color w:val="0E8F95"/>
          <w:sz w:val="18"/>
        </w:rPr>
        <w:t>SIGNED INTENT INFRASTRUCTURE</w:t>
      </w:r>
    </w:p>
    <w:p>
      <w:pPr>
        <w:spacing w:before="0" w:after="120" w:line="264" w:lineRule="auto"/>
        <w:jc w:val="center"/>
      </w:pPr>
      <w:r>
        <w:rPr>
          <w:rFonts w:ascii="Calibri" w:hAnsi="Calibri" w:eastAsia="Calibri"/>
          <w:b/>
          <w:i w:val="0"/>
          <w:color w:val="0B1F3A"/>
          <w:sz w:val="64"/>
        </w:rPr>
        <w:t>SODIF</w:t>
      </w:r>
    </w:p>
    <w:p>
      <w:pPr>
        <w:spacing w:before="0" w:after="360" w:line="264" w:lineRule="auto"/>
        <w:jc w:val="center"/>
      </w:pPr>
      <w:r>
        <w:rPr>
          <w:rFonts w:ascii="Calibri" w:hAnsi="Calibri" w:eastAsia="Calibri"/>
          <w:b/>
          <w:i w:val="0"/>
          <w:color w:val="2E74B5"/>
          <w:sz w:val="36"/>
        </w:rPr>
        <w:t>Controlul execuției digitale autorizate</w:t>
        <w:br/>
        <w:t>prin documente semnate</w:t>
      </w:r>
    </w:p>
    <w:p>
      <w:pPr>
        <w:spacing w:before="0" w:after="720" w:line="264" w:lineRule="auto"/>
        <w:jc w:val="center"/>
      </w:pPr>
      <w:r>
        <w:rPr>
          <w:rFonts w:ascii="Calibri" w:hAnsi="Calibri" w:eastAsia="Calibri"/>
          <w:b w:val="0"/>
          <w:i w:val="0"/>
          <w:color w:val="5F6B7A"/>
          <w:sz w:val="22"/>
        </w:rPr>
        <w:t>Document tehnic de produs, arhitectură, fluxuri și dovezi operaționale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AEE7E1"/>
                <w:sz w:val="17"/>
              </w:rPr>
              <w:t>PROMISIUNEA PRODUSULUI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Exact ceea ce s-a semnat. O singură dată.</w:t>
            </w:r>
          </w:p>
        </w:tc>
      </w:tr>
    </w:tbl>
    <w:p>
      <w:pPr>
        <w:spacing w:before="0" w:after="480" w:line="264" w:lineRule="auto"/>
      </w:pPr>
      <w:r>
        <w:rPr>
          <w:rFonts w:ascii="Calibri" w:hAnsi="Calibri" w:eastAsia="Calibri"/>
          <w:b w:val="0"/>
          <w:i w:val="0"/>
          <w:color w:val="172B4D"/>
          <w:sz w:val="2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rPr>
          <w:tblHeader w:val="true"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Categorie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Conținut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8"/>
              </w:rPr>
              <w:t>Platformă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8"/>
              </w:rPr>
              <w:t>Control tranzacțional document-to-API, modular și auditabil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8"/>
              </w:rPr>
              <w:t>Module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8"/>
              </w:rPr>
              <w:t>Signed Intent Security · Verifiable Document Archive · Semantic Execution Gateway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8"/>
              </w:rPr>
              <w:t>Versiune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8"/>
              </w:rPr>
              <w:t>Produs 0.19.0-product5 · document actualizat 25.08.2026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ESENȚĂ ȘI DIFERENȚIERE</w:t>
      </w:r>
    </w:p>
    <w:p>
      <w:pPr>
        <w:pStyle w:val="Heading1"/>
      </w:pPr>
      <w:r>
        <w:t>Documentul semnat devine o constrângere executabilă</w:t>
      </w:r>
    </w:p>
    <w:p>
      <w:pPr>
        <w:spacing w:before="0" w:after="240" w:line="264" w:lineRule="auto"/>
      </w:pPr>
      <w:r>
        <w:rPr>
          <w:rFonts w:ascii="Calibri" w:hAnsi="Calibri" w:eastAsia="Calibri"/>
          <w:b/>
          <w:i w:val="0"/>
          <w:color w:val="0B1F3A"/>
          <w:sz w:val="24"/>
        </w:rPr>
        <w:t>SODIF confirmă sensul operațional al reviziei semnate, îl transformă într-un permis criptografic unic și permite API-ului să execute numai acțiunea care corespunde exact aprobării.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4320"/>
        <w:gridCol w:w="2664"/>
      </w:tblGrid>
      <w:tr>
        <w:trPr>
          <w:tblHeader w:val="true"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Frontieră de încredere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Control SODIF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Rezultat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Semnătură → conținut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Identifică revizia și verifică digestul semnat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Conținut autentic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Conținut → sens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Compară reprezentări independente ale câmpurilor critice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Intenție confirmată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Sens → acțiune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Compilează un plan API canonic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Parametri expliciți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Acțiune → runtime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Leagă planul de permis și îl verifică la Gateway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Execuție exactă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Runtime → audit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Sigilează decizia, artefactele și istoricul rulărilor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Dovadă verificabilă</w:t>
            </w:r>
          </w:p>
        </w:tc>
      </w:tr>
    </w:tbl>
    <w:p>
      <w:pPr>
        <w:pStyle w:val="Heading2"/>
      </w:pPr>
      <w:r>
        <w:t>Unde este diferențierea</w:t>
      </w:r>
    </w:p>
    <w:p>
      <w:pPr>
        <w:spacing w:before="0" w:after="160" w:line="264" w:lineRule="auto"/>
      </w:pPr>
      <w:r>
        <w:rPr>
          <w:rFonts w:ascii="Calibri" w:hAnsi="Calibri" w:eastAsia="Calibri"/>
          <w:b w:val="0"/>
          <w:i w:val="0"/>
          <w:color w:val="172B4D"/>
          <w:sz w:val="22"/>
        </w:rPr>
        <w:t>Nici semnătura digitală, nici analiza multi-parser, nici semnarea unui request API nu sunt prezentate separat ca invenții. Diferențiatorul este mecanismul integrat și fail-closed care păstrează continuitatea verificabilă între toate aceste frontiere.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AEE7E1"/>
                <w:sz w:val="17"/>
              </w:rPr>
              <w:t>NUCLEUL TEHNIC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Consens cross-view asupra câmpurilor cu efect + permis unic legat criptografic de cererea API efectiv executată.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POZIȚIONARE TEHNICĂ</w:t>
      </w:r>
    </w:p>
    <w:p>
      <w:pPr>
        <w:pStyle w:val="Heading1"/>
      </w:pPr>
      <w:r>
        <w:t>SODIF completează controalele existente, nu le reambalează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2376"/>
        <w:gridCol w:w="2376"/>
        <w:gridCol w:w="2664"/>
      </w:tblGrid>
      <w:tr>
        <w:trPr>
          <w:tblHeader w:val="true"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Categorie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Ce rezolvă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Limita tipică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Contribuția SODIF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Validare semnături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Integritate, identitate, revizie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Nu verifică efectul API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Leagă revizia de acțiunea executată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Document AI / OCR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Extrage text și structură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Nu poate autoriza singur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Îl folosește ca senzor cu proveniență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DMS / CLM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Stocare, versiuni, workflow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Nu impune coerența la runtime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Corelează revizia cu permisul și efectul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API Gateway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Identitate, rută, trafic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Nu cunoaște aprobarea semnată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Verifică dreptul tranzacțional exact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Fraud / anomaly AI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Detectează abateri statistice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Nu probează legătura cu documentul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Aplică o relație deterministă, verificabilă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HTTP signing / OAuth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Protejează mesajul și accesul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Nu derivă intenția din document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Leagă autorizarea de consensul documentar</w:t>
            </w:r>
          </w:p>
        </w:tc>
      </w:tr>
    </w:tbl>
    <w:p>
      <w:pPr>
        <w:pStyle w:val="Heading2"/>
      </w:pPr>
      <w:r>
        <w:t>Poziția competitivă rezultată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SODIF operează între document security și API security, într-o frontieră tratată de regulă fragmentat.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Valoarea sa este verificarea efectului, nu simpla extracție sau automatizare a documentului.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AI-ul poate crește acoperirea semantică, însă permisiunea rămâne deterministă și reproductibilă.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Gateway-ul semantic verifică intenția aprobată; nu încearcă să înlocuiască funcțiile mature ale unui gateway generalist.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STRUCTURA PRODUSULUI</w:t>
      </w:r>
    </w:p>
    <w:p>
      <w:pPr>
        <w:pStyle w:val="Heading1"/>
      </w:pPr>
      <w:r>
        <w:t>Trei module autonome, o garanție transversală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 w:eastAsia="Calibri"/>
          <w:b w:val="0"/>
          <w:i/>
          <w:color w:val="5F6B7A"/>
          <w:sz w:val="17"/>
        </w:rPr>
        <w:t>Pagina principală prezintă promisiunea produsului și delimitarea celor trei module.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36"/>
        <w:gridCol w:w="4032"/>
        <w:gridCol w:w="2592"/>
      </w:tblGrid>
      <w:tr>
        <w:trPr>
          <w:tblHeader w:val="true"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Modul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Responsabilitate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Ieșire verificabilă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Signed Intent Security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Validează documentul, consensul și acțiunea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Decizie + permis unic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Verifiable Document Archive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Păstrează revizii și continuitatea lor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Înregistrare + istoric + pachet offline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Semantic Execution Gateway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Aplică permisul la limita API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Decizie route/block + receipt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ARHITECTURĂ LOGICĂ</w:t>
      </w:r>
    </w:p>
    <w:p>
      <w:pPr>
        <w:pStyle w:val="Heading1"/>
      </w:pPr>
      <w:r>
        <w:t>Nucleul de securitate rămâne independent de interfață și infrastructură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816"/>
        <w:gridCol w:w="3528"/>
      </w:tblGrid>
      <w:tr>
        <w:trPr>
          <w:tblHeader w:val="true"/>
        </w:trP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Strat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Componente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Regulă arhitecturală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Experiență produs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Streamlit multipagină, configurare, control, audit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UI-ul orchestrează; nu decide securitatea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Cazuri de utilizare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Flight runner, ingestie, registru, Policy Studio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Fluxuri explicite și reproductibile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Nucleu de domeniu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Revizii, risc, consens, plan, permis, Gateway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Modele tipizate și fail-closed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Persistență și dovezi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SQLite, obiecte, DOCX/JSON/NDJSON/ZIP, ledger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Integritate verificată la citire și scriere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Adaptoare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Semnătură, semantică, API, stocare, observabilitate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Înlocuibile fără schimbarea contractelor</w:t>
            </w:r>
          </w:p>
        </w:tc>
      </w:tr>
    </w:tbl>
    <w:p>
      <w:pPr>
        <w:pStyle w:val="Heading2"/>
      </w:pPr>
      <w:r>
        <w:t>Lanțul de încredere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01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02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03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04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05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Revizie semnată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Intenție canonică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Consens și risc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Permis criptografic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Rutare sau blocare</w:t>
            </w:r>
          </w:p>
        </w:tc>
      </w:tr>
    </w:tbl>
    <w:p>
      <w:pPr>
        <w:pStyle w:val="Heading2"/>
      </w:pPr>
      <w:r>
        <w:t>Invariante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Nicio execuție fără revizie identificată, politică validă și consens acceptat.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Nicio valoare critică fără tip, proveniență și verificare independentă.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Nicio rutare dacă metoda, calea, audiența sau parametrii diferă de permis.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Orice decizie cu efect extern produce dovadă și poate fi verificată independent.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CONTRACTE ȘI PROTOCOALE</w:t>
      </w:r>
    </w:p>
    <w:p>
      <w:pPr>
        <w:pStyle w:val="Heading1"/>
      </w:pPr>
      <w:r>
        <w:t>Datele sunt versionate, canonice și validate la fiecare frontieră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4536"/>
        <w:gridCol w:w="2232"/>
      </w:tblGrid>
      <w:tr>
        <w:trPr>
          <w:tblHeader w:val="true"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Contract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Conținut esențial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Protocol / rol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DocumentEnvelope / SignedRevision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ID, format, digest, semnătură, revizie, predecesor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Intrare documentară verificată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SemanticView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Adaptor, tip vedere, câmpuri, valori, încredere, proveniență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Interpretare independentă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AdaptiveVerificationOutcome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Risc, nivel, încercări, cost, consens, motive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Decizie semantică completă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ExecutionPlan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Metodă, cale, audiență, parametri, intent digest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Acțiune candidată canonică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ExecutionPermit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Document, consens, acțiune, politică, expirare, semnătură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sodif.execution-permit/v1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GatewayRequest / Decision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Request, rută, permis, checks, digests, receipt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sodif.gateway-request/v1 / decision/v1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ArchiveRecord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Revizie, conținut, semnătură, predecesor, semnatar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sodif.archive-record/v1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Evidence Manifest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Fișiere, dimensiuni, digests, evidence root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sodif.evidence-manifest/v1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Ledger Entry / Receipt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Secvență, link anterior, pachet, manifest, head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sodif.run-integrity-*/v1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A6670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AEE7E1"/>
                <w:sz w:val="17"/>
              </w:rPr>
              <w:t>PRIMITIVE CRIPTOGRAFICE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JSON canonic RFC 8785, SHA-256 și semnături Ed25519; verificarea este deterministă și independentă de Streamlit.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SIGNED INTENT SECURITY</w:t>
      </w:r>
    </w:p>
    <w:p>
      <w:pPr>
        <w:pStyle w:val="Heading1"/>
      </w:pPr>
      <w:r>
        <w:t>Fluxul tehnic de la document la dreptul de execuție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4824"/>
        <w:gridCol w:w="2880"/>
      </w:tblGrid>
      <w:tr>
        <w:trPr>
          <w:tblHeader w:val="true"/>
        </w:trP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Etapă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Procesare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Ieșire / condiție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1. Revizie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Verifică semnătura, conținutul și identitatea reviziei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Digest al reviziei autentice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2. Triere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Evaluează risc, impact și completitudinea intrării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Nivel V0–V3 + motive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3. Vederi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Rulează minimum două reprezentări independente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Valori tipizate + proveniență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4. Normalizare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Canonicalizează numere, monede, date și identificatori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Candidați comparabili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5. Consens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Evaluează fiecare câmp critic și conflictele materiale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Acceptare sau escaladare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6. Manifest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Asamblează exclusiv valorile confirmate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Intenție operațională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7. Plan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Compilează metoda, ruta, audiența și parametrii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Acțiune API canonică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8. Permis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Semnează digesturile și fereastra de valabilitate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Capabilitate unică de execuție</w:t>
            </w:r>
          </w:p>
        </w:tc>
      </w:tr>
    </w:tbl>
    <w:p>
      <w:pPr>
        <w:pStyle w:val="Heading2"/>
      </w:pPr>
      <w:r>
        <w:t>Regulă fail-closed</w:t>
      </w:r>
    </w:p>
    <w:p>
      <w:pPr>
        <w:spacing w:before="0" w:after="120" w:line="264" w:lineRule="auto"/>
      </w:pPr>
      <w:r>
        <w:rPr>
          <w:rFonts w:ascii="Calibri" w:hAnsi="Calibri" w:eastAsia="Calibri"/>
          <w:b/>
          <w:i w:val="0"/>
          <w:color w:val="0B1F3A"/>
          <w:sz w:val="22"/>
        </w:rPr>
        <w:t>Orice semnătură nevalidă, conflict critic, lipsă de consens, nepotrivire a acțiunii, expirare sau reutilizare oprește fluxul înainte de efectul extern.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OPTIMIZARE ȘI SIGURANȚĂ</w:t>
      </w:r>
    </w:p>
    <w:p>
      <w:pPr>
        <w:pStyle w:val="Heading1"/>
      </w:pPr>
      <w:r>
        <w:t>Verificarea adaptivă limitează costul fără a delega autorizarea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08"/>
        <w:gridCol w:w="3168"/>
        <w:gridCol w:w="1584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Nivel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Declanșator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Procesare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Decizie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V0 — Block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Revizie nevalidă sau politică absentă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Oprire înaintea semanticii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Deny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V1 — Targeted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Document standard și risc controlat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Două vederi independente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Allow / extend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V2 — Extended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Dovadă insuficientă, conflict sau impact ridicat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 treia vedere orientată spre API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Allow / hold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V3 — Review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Ambiguitate materială sau politică specială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Pachet explicativ pentru operator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Hold</w:t>
            </w:r>
          </w:p>
        </w:tc>
      </w:tr>
    </w:tbl>
    <w:p>
      <w:pPr>
        <w:pStyle w:val="Heading2"/>
      </w:pPr>
      <w:r>
        <w:t>Optimizarea implementată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Fiecare adaptor declară un cost; rezultatul reține costul executat, costul disponibil și economia realizată.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Fluxul conform V1 utilizează două vederi, 4 din 6 unități de cost și evită a treia cale.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Dovada insuficientă activează controlat V2, cu trei vederi și motiv explicit.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Un document invalid este blocat înaintea procesării semantice, eliminând consumul inutil.</w:t>
      </w:r>
    </w:p>
    <w:p>
      <w:pPr>
        <w:pStyle w:val="Heading2"/>
      </w:pPr>
      <w:r>
        <w:t>Rolul AI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i w:val="0"/>
          <w:color w:val="172B4D"/>
          <w:sz w:val="22"/>
        </w:rPr>
        <w:t>Un extractor AI/OCR poate clasifica, extrage, estima incertitudinea și explica diferențele prin același contract SemanticView. El rămâne o sursă de dovadă; consensul, politica și emiterea permisului sunt deterministe.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CROSS-VIEW EXECUTION INTEGRITY</w:t>
      </w:r>
    </w:p>
    <w:p>
      <w:pPr>
        <w:pStyle w:val="Heading1"/>
      </w:pPr>
      <w:r>
        <w:t>Consensul este calculat pe câmpurile care modifică efectul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3384"/>
        <w:gridCol w:w="3888"/>
      </w:tblGrid>
      <w:tr>
        <w:trPr>
          <w:tblHeader w:val="true"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Vedere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Perspectivă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Contribuție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Structurală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Obiecte și structură nativă a documentului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Valori extrase direct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Vizuală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Conținut randat și relații de pagină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Detectează diferențe de afișare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Orientată spre țintă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Schema și parserul aplicației destinație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Confirmă forma folosită de API</w:t>
            </w:r>
          </w:p>
        </w:tc>
      </w:tr>
    </w:tbl>
    <w:p>
      <w:pPr>
        <w:pStyle w:val="Heading2"/>
      </w:pPr>
      <w:r>
        <w:t>Algoritm de decizie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Valorile sunt normalizate după tip semantic; reformularea liberă nu înlocuiește valoarea canonică.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Sunt necesare adaptoare și tipuri de vedere distincte; un singur extractor nu poate autoriza.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Dezacordul calificat asupra unui câmp critic nu este rezolvat prin vot majoritar.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Fiecare candidat păstrează adaptorul, încrederea, locatorul și digestul provenienței.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Câmpurile lipsă sau ne-normalizabile nu sunt inventate; fluxul se extinde sau escaladează.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A6670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AEE7E1"/>
                <w:sz w:val="17"/>
              </w:rPr>
              <w:t>EFECT TEHNIC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O aprobare formală devine executabilă numai după ce sensul folosit de sistemul țintă este concordant cu revizia semnată.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EXECUTION PERMIT</w:t>
      </w:r>
    </w:p>
    <w:p>
      <w:pPr>
        <w:pStyle w:val="Heading1"/>
      </w:pPr>
      <w:r>
        <w:t>Permisul reprezintă dreptul pentru o singură acțiune exactă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Categorie de claims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Elemente legate criptografic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Identitate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permit_id, issuer_id, key_id, algorithm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Document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document_id și revision_digest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Verificare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verification_digest și consensus_digest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Intenție și politică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intent_digest și policy_digest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Acțiune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action_digest pentru metodă, cale, audiență și parametri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7"/>
              </w:rPr>
              <w:t>Context runtime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7"/>
              </w:rPr>
              <w:t>audience, issued_at și expires_at</w:t>
            </w:r>
          </w:p>
        </w:tc>
      </w:tr>
    </w:tbl>
    <w:p>
      <w:pPr>
        <w:pStyle w:val="Heading2"/>
      </w:pPr>
      <w:r>
        <w:t>Emiterea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Este permisă numai pentru o verificare accepted și un consens automat accepted.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Documentul, revizia, manifestul, politica și planul trebuie să fie intern coerente.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Claims sunt canonicalizate RFC 8785 și semnate Ed25519.</w:t>
      </w:r>
    </w:p>
    <w:p>
      <w:pPr>
        <w:pStyle w:val="Heading2"/>
      </w:pPr>
      <w:r>
        <w:t>Autorizarea și consumul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Verificatorul controlează cheia de încredere, semnătura, fereastra temporală, audiența și action_digest.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Consumarea este atomică: prezentările secvențiale sau concurente pot produce cel mult o singură autorizare.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Modificarea requestului este detectată înaintea consumului, astfel încât o cerere corectată poate folosi un permis nou.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FLIGHT OPERAȚIONAL 01</w:t>
      </w:r>
    </w:p>
    <w:p>
      <w:pPr>
        <w:pStyle w:val="Heading1"/>
      </w:pPr>
      <w:r>
        <w:t>Security Flight izolează mecanismul aflat în nucleul dezvoltării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74920" cy="2854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cur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854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 w:eastAsia="Calibri"/>
          <w:b w:val="0"/>
          <w:i/>
          <w:color w:val="5F6B7A"/>
          <w:sz w:val="17"/>
        </w:rPr>
        <w:t>Signed Intent Security — limitele modulului și controalele pe care le aplică.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3456"/>
        <w:gridCol w:w="3528"/>
      </w:tblGrid>
      <w:tr>
        <w:trPr>
          <w:tblHeader w:val="true"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Scenariu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Control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Rezultat obligatoriu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Tranzacție conformă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V1 + permis + execuție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O execuție, HTTP 202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Recuperare adaptivă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Extindere V1 → V2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Execuție după dovada suplimentară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Document modificat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Digestul reviziei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Blocare înaintea semanticii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Conflict semantic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Consens pe câmp critic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Escaladare; niciun permis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Acțiune modificată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Action digest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Blocare înaintea API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Replay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Consum unic atomic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 doua prezentare respinsă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VERIFIABLE DOCUMENT ARCHIVE</w:t>
      </w:r>
    </w:p>
    <w:p>
      <w:pPr>
        <w:pStyle w:val="Heading1"/>
      </w:pPr>
      <w:r>
        <w:t>Arhiva păstrează dovada exactă fără a prelua decizia semantică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4824"/>
        <w:gridCol w:w="2448"/>
      </w:tblGrid>
      <w:tr>
        <w:trPr>
          <w:tblHeader w:val="true"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Capabilitate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Mecanism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Rezultat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Preluare controlată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PDF + dovadă de semnătură JSON validate înainte de scriere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Numai revizii acceptate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Index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Metadate tipizate în SQLite și obiecte separate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Căutare și paginare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Deduplicare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Identitate deterministă pe conținut și semnătură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Reîncărcare idempotentă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Revizii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Număr, predecesor, semnatar și ordine temporală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Lanț continuu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Citire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Dimensiune și SHA-256 reverificate înainte de afișare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Detectare anti-tamper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Pachet offline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Document, istoric, manifest și rădăcină de integritate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Verificare fără depozitul sursă</w:t>
            </w:r>
          </w:p>
        </w:tc>
      </w:tr>
    </w:tbl>
    <w:p>
      <w:pPr>
        <w:pStyle w:val="Heading2"/>
      </w:pPr>
      <w:r>
        <w:t>Ciclul reviziei semnate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O revizie nouă trebuie să indice exact digestul ultimei revizii acceptate.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Sunt respinse salturile de număr, alt predecesor, conținutul repetat, identitatea schimbată sau semnarea neordonată.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Transversal Flight păstrează două revizii legate pentru scenariul conform; Security Flight nu scrie în DMS.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SEMANTIC EXECUTION GATEWAY</w:t>
      </w:r>
    </w:p>
    <w:p>
      <w:pPr>
        <w:pStyle w:val="Heading1"/>
      </w:pPr>
      <w:r>
        <w:t>Politica tranzacțională este aplicată la limita API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1632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atew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 w:eastAsia="Calibri"/>
          <w:b w:val="0"/>
          <w:i/>
          <w:color w:val="5F6B7A"/>
          <w:sz w:val="17"/>
        </w:rPr>
        <w:t>Gateway Policy Studio — evaluarea unei tranzacții față de ruta și permisul protejat.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4104"/>
        <w:gridCol w:w="2376"/>
      </w:tblGrid>
      <w:tr>
        <w:trPr>
          <w:tblHeader w:val="true"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Gateway clasic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SODIF adaugă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Decizie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Identitate, rutare, rate limits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Relația cu documentul și acțiunea aprobată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route / block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Politici de metodă și cale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Digestul exact al planului autorizat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Motiv + checks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Protecția transportului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Consum unic și continuitate probatorie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Receipt sau zero efect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ENFORCEMENT DETERMINIST</w:t>
      </w:r>
    </w:p>
    <w:p>
      <w:pPr>
        <w:pStyle w:val="Heading1"/>
      </w:pPr>
      <w:r>
        <w:t>Ordinea controalelor evită consumul inutil și blochează implicit abaterile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0"/>
        <w:gridCol w:w="5400"/>
        <w:gridCol w:w="2880"/>
      </w:tblGrid>
      <w:tr>
        <w:trPr>
          <w:tblHeader w:val="true"/>
        </w:trP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Ordine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Control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Exemplu de rezultat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1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Ruta există în catalog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route.not_found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2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Audiența corespunde serviciului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route.audience_mismatch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3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Metoda HTTP este permisă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route.method_not_allowed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4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Calea respectă segmentele protejate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route.path_not_allowed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5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Complexitatea requestului este în limită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request.too_complex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6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Emitentul și cheia permisului sunt de încredere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permit.untrusted_issuer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7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Semnătura și fereastra temporală sunt valide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permit.invalid / expired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8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Action digest corespunde exact requestului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permit.action_mismatch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9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Permisul este consumat atomic o singură dată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permit.permit_replayed</w:t>
            </w:r>
          </w:p>
        </w:tc>
      </w:tr>
      <w:tr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10</w:t>
            </w:r>
          </w:p>
        </w:tc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Adaptorul serviciului produce receipt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route.authorized / upstream reject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7452A5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CONTRACT DE IEȘIRE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GatewayDecision păstrează request_digest, action digest observat/autorizat, checks ordonate, cod, detaliu, autorizație și receipt numai pentru routed.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FLIGHT OPERAȚIONAL 02</w:t>
      </w:r>
    </w:p>
    <w:p>
      <w:pPr>
        <w:pStyle w:val="Heading1"/>
      </w:pPr>
      <w:r>
        <w:t>Transversal Flight corelează toate modulele într-un singur traseu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7800" cy="29575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versal_fligh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 w:eastAsia="Calibri"/>
          <w:b w:val="0"/>
          <w:i/>
          <w:color w:val="5F6B7A"/>
          <w:sz w:val="17"/>
        </w:rPr>
        <w:t>Centrul de control — Security Flight și Transversal Flight rămân distincte.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Secvență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Dovadă corelată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Revizie → Security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digest, risc, vederi, consens și permis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Security → Archive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archive_id și continuitatea reviziei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Permit → Gateway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route policy, request digest și checks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Gateway → API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execution_id, response code și response digest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Toate → Audit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cronologie, identificatori și pachet sigilat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ACOPERIRE DE AUDIT</w:t>
      </w:r>
    </w:p>
    <w:p>
      <w:pPr>
        <w:pStyle w:val="Heading1"/>
      </w:pPr>
      <w:r>
        <w:t>Pachetul este complet pentru decizie și trasabilitate, nu un dump brut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A6670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AEE7E1"/>
                <w:sz w:val="17"/>
              </w:rPr>
              <w:t>RĂSPUNS DIRECT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Da: la nivelul pachetului combinat sunt păstrate toate acțiunile și informațiile utile reținute de motor pentru a reconstitui rularea, controalele, decizia și efectul.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5112"/>
        <w:gridCol w:w="2520"/>
      </w:tblGrid>
      <w:tr>
        <w:trPr>
          <w:tblHeader w:val="true"/>
        </w:trP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Categorie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Ce se păstrează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Unde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Context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Sesiune, organizație, domeniu, mediu, serviciu, rută, audiență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JSON + NDJSON + manifest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Cronologie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Fiecare observație, etapă, moment, detaliu și subject digest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NDJSON + JSON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Semantică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Risc, niveluri, vederi, încercări, consens, cost și motive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JSON; sinteză DOCX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Permis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ID-ul permisului și digestul observației de emitere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JSON/NDJSON; ID și sinteză în DOCX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DMS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Archive IDs și lista reviziilor asociate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JSON + NDJSON + DOCX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Gateway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Request ID/digest, checks, status, cod, action digests și decizie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JSON + NDJSON + DOCX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Efect API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Execution ID, metodă, cale, audiență, răspuns și digest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JSON + NDJSON + DOCX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Integritate</w:t>
            </w:r>
          </w:p>
        </w:tc>
        <w:tc>
          <w:tcPr>
            <w:tcW w:type="dxa" w:w="51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Fișiere, dimensiuni, digests, evidence root și lanțul rulării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Manifest + receipt + ledger</w:t>
            </w:r>
          </w:p>
        </w:tc>
      </w:tr>
    </w:tbl>
    <w:p>
      <w:pPr>
        <w:pStyle w:val="Heading2"/>
      </w:pPr>
      <w:r>
        <w:t>Excluderi deliberate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i w:val="0"/>
          <w:color w:val="5F6B7A"/>
          <w:sz w:val="19"/>
        </w:rPr>
        <w:t>Cheile private, secretele de mediu, stările temporare fără valoare de audit și duplicatele binare nu sunt exportate. Documentul integral rămâne în DMS și este referențiat prin ID/digest; poate fi livrat separat în pachetul documentar offline.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DOCUMENTE GENERATE AUTOMAT</w:t>
      </w:r>
    </w:p>
    <w:p>
      <w:pPr>
        <w:pStyle w:val="Heading1"/>
      </w:pPr>
      <w:r>
        <w:t>Fiecare flight finalizează șase artefacte și o înscriere globală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4752"/>
        <w:gridCol w:w="2664"/>
      </w:tblGrid>
      <w:tr>
        <w:trPr>
          <w:tblHeader w:val="true"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Artefact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Conținut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Consumator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Raport DOCX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Decizii, controale, efecte și dovezi relevante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Evaluator, management, dosar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Raport JSON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Modelul complet FlightReport, fără câmpuri calculate volatile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Integrare și analiză automată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Jurnal NDJSON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Evenimente ordonate flight/scenario/gateway/seal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Audit, SIEM, observabilitate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Manifest JSON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Media type, dimensiune, SHA-256 și evidence root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Verificare independentă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Pachet ZIP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DOCX + JSON + NDJSON + manifest, ordonate determinist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Transfer și arhivare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Chitanță JSON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Poziție, entry digest, previous, head și digests asociate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Dovada înscrierii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Ledger global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Lanț NDJSON al tuturor rulărilor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Continuitate anti-tamper</w:t>
            </w:r>
          </w:p>
        </w:tc>
      </w:tr>
    </w:tbl>
    <w:p>
      <w:pPr>
        <w:pStyle w:val="Heading2"/>
      </w:pPr>
      <w:r>
        <w:t>Persistență și atomicitate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Calea este &lt;export-root&gt;/&lt;session&gt;/&lt;security|transversal&gt;/&lt;report-id&gt;/.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Fișierele sunt scrise atomic prin fișier temporar și înlocuire controlată.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Formatele pentru oameni și sisteme provin din același model de domeniu validat.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ZIP-ul folosește ordine și timestamp determinist pentru rezultate reproductibile.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AUDIT &amp; INTEGRITY</w:t>
      </w:r>
    </w:p>
    <w:p>
      <w:pPr>
        <w:pStyle w:val="Heading1"/>
      </w:pPr>
      <w:r>
        <w:t>Registrul criptografic face detectabile modificarea și reordonarea rulărilor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"/>
        <w:gridCol w:w="5184"/>
        <w:gridCol w:w="3168"/>
      </w:tblGrid>
      <w:tr>
        <w:trPr>
          <w:tblHeader w:val="true"/>
        </w:trP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Pas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Algoritm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Garanție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1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Verifică integral registrul existent și obiectele referențiate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Nu extinde un istoric corupt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2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Calculează SHA-256 pentru ZIP și manifest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Leagă intrarea de pachetul real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3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Include sequence și previous_entry_digest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Detectează ștergere, inserare și reordonare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4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Canonicalizează intrarea și calculează entry_digest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Detectează modificarea câmpurilor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5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Scrie atomic și reverifică noul head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Închidere fail-closed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6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Generează chitanța portabilă a rulării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Verificare și transfer independent</w:t>
            </w:r>
          </w:p>
        </w:tc>
      </w:tr>
    </w:tbl>
    <w:p>
      <w:pPr>
        <w:pStyle w:val="Heading2"/>
      </w:pPr>
      <w:r>
        <w:t>Suprafața protejată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Conținutul fiecărei intrări și legătura cu intrarea precedentă.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Existența, calea relativă și amprenta pachetului ZIP.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Existența, calea relativă și amprenta manifestului de integritate.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Capul lanțului și numărul intrărilor verificate.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7452A5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COMPORTAMENT LA INCIDENT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Registrul sau pachetul modificat nu este reparat ori suprascris implicit; următoarea înscriere este refuzată și istoricul rămâne disponibil pentru investigație.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CONFIGURARE OPERAȚIONALĂ</w:t>
      </w:r>
    </w:p>
    <w:p>
      <w:pPr>
        <w:pStyle w:val="Heading1"/>
      </w:pPr>
      <w:r>
        <w:t>Contextul de produs controlează efectiv rularea și raportarea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74920" cy="28546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figu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854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 w:eastAsia="Calibri"/>
          <w:b w:val="0"/>
          <w:i/>
          <w:color w:val="5F6B7A"/>
          <w:sz w:val="17"/>
        </w:rPr>
        <w:t>Configurația validată este păstrată în sesiune și utilizată de flight-uri, Gateway și rapoarte.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4392"/>
        <w:gridCol w:w="3240"/>
      </w:tblGrid>
      <w:tr>
        <w:trPr>
          <w:tblHeader w:val="true"/>
        </w:trP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Grup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Valori configurabile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Efect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Identitate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Organizație, workspace, domeniu, mediu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Separare și raportare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Serviciu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Protected service, audience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Destinația permisului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Gateway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Route ID, path prefix, maximum parameters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Politica de rutare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Module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Security / Archive / Gateway enabled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Navigație și expunere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Persistență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Archive root și export root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Locația datelor operaționale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EXPERIENȚĂ DE PRODUS</w:t>
      </w:r>
    </w:p>
    <w:p>
      <w:pPr>
        <w:pStyle w:val="Heading1"/>
      </w:pPr>
      <w:r>
        <w:t>Interfața multipagină separă clar modulele și operațiunile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52"/>
        <w:gridCol w:w="6408"/>
      </w:tblGrid>
      <w:tr>
        <w:trPr>
          <w:tblHeader w:val="true"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Zonă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Funcție principală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Prezentare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Mesaj de produs, valoare și acces direct la module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Configurare operațională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Profil validat, preconfigurări și persistență de sesiune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Securitate tranzacțională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Contractul Signed Intent Security și controalele sale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Preluare documente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Validarea și arhivarea perechii document–semnătură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Registru documente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Căutare, previzualizare, revizii și pachet offline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Gateway semantic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Policy Studio și exportul deciziei route/block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Centrul de control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Pornirea separată a celor două flight-uri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Audit și exporturi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Rapoarte, pachet, receipt și registru criptografic</w:t>
            </w:r>
          </w:p>
        </w:tc>
      </w:tr>
    </w:tbl>
    <w:p>
      <w:pPr>
        <w:pStyle w:val="Heading2"/>
      </w:pPr>
      <w:r>
        <w:t>Principii UX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Limbaj orientat spre operațiuni și decizii, fără etichete de laborator în interfața produsului.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Material icons, navigație laterală, stări clare și acțiuni de export la locul potrivit.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Schimbarea configurației invalidează rezultatele vechi din sesiune, prevenind amestecarea contextelor.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Nicio regulă de securitate nu este duplicată în paginile Streamlit.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MODEL DE AMENINȚĂRI</w:t>
      </w:r>
    </w:p>
    <w:p>
      <w:pPr>
        <w:pStyle w:val="Heading1"/>
      </w:pPr>
      <w:r>
        <w:t>Controalele sunt legate direct de modurile de eșec relevante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52"/>
        <w:gridCol w:w="4320"/>
        <w:gridCol w:w="2088"/>
      </w:tblGrid>
      <w:tr>
        <w:trPr>
          <w:tblHeader w:val="true"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Amenințare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Control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Efect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Document modificat după semnare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Digestul reviziei și validarea semnăturii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Blocare timpurie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Split-view / parser differential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Vederi eterogene și consens pe câmp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Escaladare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Câmp critic lipsă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Verificare adaptivă V2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Dovadă suplimentară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Interpretare AI eronată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AI fără drept unilateral + reguli tipizate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Fail-closed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Metodă / cale schimbată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Action digest și route policy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Blocare Gateway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Audiență schimbată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Audience în permis și politică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Blocare Gateway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Payload modificat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Canonicalizare și action digest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Blocare înainte de API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Replay / concurență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Consum atomic al permisului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O singură rutare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Fișier arhivat modificat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Recalculare size + SHA-256 la citire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Refuzul livrării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CECEC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Pachet sau istoric modificat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Manifest + ledger hash-chain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Detectare și stop înscriere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APLICABILITATE</w:t>
      </w:r>
    </w:p>
    <w:p>
      <w:pPr>
        <w:pStyle w:val="Heading1"/>
      </w:pPr>
      <w:r>
        <w:t>Cazuri în care documentul aprobat produce o schimbare de stare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2304"/>
        <w:gridCol w:w="2592"/>
        <w:gridCol w:w="2808"/>
      </w:tblGrid>
      <w:tr>
        <w:trPr>
          <w:tblHeader w:val="true"/>
        </w:trP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Domeniu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Document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Acțiune protejată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Beneficiu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Achiziții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Comandă / aprobare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POST în ERP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Fără valori schimbate sau dublare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Administrație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Decizie semnată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Actualizare dosar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Stare conformă cu actul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Energie / utilități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Ordin de intervenție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Programare / activare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Activ, interval și limite corecte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B2B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Mandat / act adițional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Activare sau schimbare plafon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Execuție numai în limitele convenite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Registre sectoriale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Autorizație / aviz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Emit / suspend / renew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Trasabilitate act–înregistrare</w:t>
            </w:r>
          </w:p>
        </w:tc>
      </w:tr>
    </w:tbl>
    <w:p>
      <w:pPr>
        <w:pStyle w:val="Heading2"/>
      </w:pPr>
      <w:r>
        <w:t>Valoare măsurabilă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Reducerea erorilor de transcriere și a operațiunilor duplicate.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Scurtarea auditului prin corelarea automată document–câmp–permis–request–receipt.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Procesare suplimentară numai când riscul sau incertitudinea o justifică.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Integrare graduală: SDK/adaptor în aplicație, proxy sau gateway existent, fără rescrierea nucleului.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A6670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AEE7E1"/>
                <w:sz w:val="17"/>
              </w:rPr>
              <w:t>CAZ DE REFERINȚĂ IMPLEMENTAT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Comandă PDF semnată → POST /purchase-orders → HTTP 202 sau blocare fără efect.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40" w:after="80"/>
      </w:pPr>
      <w:r>
        <w:rPr>
          <w:rFonts w:ascii="Calibri" w:hAnsi="Calibri" w:eastAsia="Calibri"/>
          <w:b/>
          <w:i w:val="0"/>
          <w:color w:val="0E8F95"/>
          <w:sz w:val="17"/>
        </w:rPr>
        <w:t>IMPLEMENTARE ȘI CALITATE</w:t>
      </w:r>
    </w:p>
    <w:p>
      <w:pPr>
        <w:pStyle w:val="Heading1"/>
      </w:pPr>
      <w:r>
        <w:t>O bază software reproductibilă, testată și extensibilă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6984"/>
      </w:tblGrid>
      <w:tr>
        <w:trPr>
          <w:tblHeader w:val="true"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Aspect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Implementare curentă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Runtime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Python 3.11–3.12 și Streamlit multipagină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Modele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Pydantic v2, modele imuabile și validatori de consistență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Criptografie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cryptography, Ed25519, SHA-256 și RFC 8785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Persistență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SQLite + obiecte locale; scrieri atomice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Documente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python-docx, JSON, NDJSON și ZIP determinist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Calitate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Ruff, mypy strict, pytest cu branch coverage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Stare verificată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156 teste trecute; acoperire 91,07%; prag obligatoriu 85%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Versiune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0.19.0 / release 0.19.0-product5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6"/>
              </w:rPr>
              <w:t>Versionare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6"/>
              </w:rPr>
              <w:t>Repository Git local, istoric incremental și exportabil</w:t>
            </w:r>
          </w:p>
        </w:tc>
      </w:tr>
    </w:tbl>
    <w:p>
      <w:pPr>
        <w:pStyle w:val="Heading2"/>
      </w:pPr>
      <w:r>
        <w:t>Separarea adaptoarelor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Validatorul de semnătură, extractorii semantici, stocarea, executorul API și ceasul sunt contracte înlocuibile.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Adaptorul API actual este controlat și fără rețea; același motor poate preceda un gateway sau reverse proxy real.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Arhiva locală este deployabilă fără cloud; contractul permite ulterior backend-uri gestionate.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EXTINDERE CONTROLATĂ</w:t>
      </w:r>
    </w:p>
    <w:p>
      <w:pPr>
        <w:pStyle w:val="Heading1"/>
      </w:pPr>
      <w:r>
        <w:t>Următoarele capabilități cresc realismul fără a dilua nucleul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"/>
        <w:gridCol w:w="3024"/>
        <w:gridCol w:w="3672"/>
        <w:gridCol w:w="1656"/>
      </w:tblGrid>
      <w:tr>
        <w:trPr>
          <w:tblHeader w:val="true"/>
        </w:trP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Prioritate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Capabilitate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Valoare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Încadrare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1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Policy Simulation &amp; Semantic Diff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Arată ce decizii se schimbă între două politici, fără execuție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Mecanism transversal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Live Transaction Inbox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Primește documente și requesturi reale prin API/webhook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Operațiune de produs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3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Adaptor Gateway real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Aplică motorul route/block în reverse proxy sau gateway existent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Adaptor, nu înlocuire de nucleu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4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Adaptive Assurance Optimizer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Alege setul minim de verificări după risc, cost și încredere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Extensie AI explicabilă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5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OpenTelemetry / SIEM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Livrează evenimente și indicatori către ecosistemul operațional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Observabilitate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6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HSM / KMS și trust extern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Maturizează gestionarea cheilor și rotația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Hardening</w:t>
            </w:r>
          </w:p>
        </w:tc>
      </w:tr>
    </w:tbl>
    <w:p>
      <w:pPr>
        <w:pStyle w:val="Heading2"/>
      </w:pPr>
      <w:r>
        <w:t>Ce este deja în produs</w:t>
      </w:r>
    </w:p>
    <w:p>
      <w:pPr>
        <w:spacing w:before="0" w:after="120" w:line="264" w:lineRule="auto"/>
      </w:pPr>
      <w:r>
        <w:rPr>
          <w:rFonts w:ascii="Calibri" w:hAnsi="Calibri" w:eastAsia="Calibri"/>
          <w:b/>
          <w:i w:val="0"/>
          <w:color w:val="0B1F3A"/>
          <w:sz w:val="20"/>
        </w:rPr>
        <w:t>Sunt implementate și validate automat: cele trei module, cele două flight-uri, configurarea pe sesiune, exporturile, DMS-ul cu revizii, Gateway-ul semantic și registrul anti-tamper.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AEE7E1"/>
                <w:sz w:val="17"/>
              </w:rPr>
              <w:t>DIRECȚIE RECOMANDATĂ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Policy Simulation &amp; Semantic Diff; apoi adaptorul Gateway real și optimizarea adaptivă asistată de AI.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360" w:after="80"/>
      </w:pPr>
      <w:r>
        <w:rPr>
          <w:rFonts w:ascii="Calibri" w:hAnsi="Calibri" w:eastAsia="Calibri"/>
          <w:b/>
          <w:i w:val="0"/>
          <w:color w:val="0E8F95"/>
          <w:sz w:val="17"/>
        </w:rPr>
        <w:t>MATRICE DE VERIFICARE</w:t>
      </w:r>
    </w:p>
    <w:p>
      <w:pPr>
        <w:pStyle w:val="Heading1"/>
      </w:pPr>
      <w:r>
        <w:t>Fiecare scenariu are control, efect și dovadă explicită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440"/>
        <w:gridCol w:w="3600"/>
        <w:gridCol w:w="2232"/>
      </w:tblGrid>
      <w:tr>
        <w:trPr>
          <w:tblHeader w:val="true"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Scenariu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Rezultat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Dovadă primară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Proprietate demonstrată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Conform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executed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permit_id + execution_id + response digest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Execuția exactă este permisă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Recuperare adaptivă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executed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V1→V2, 3 views, cost 6/6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Controlul se extinde numai la nevoie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Document modificat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blocked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content_digest_mismatch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Semnătura nu acoperă conținutul primit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Conflict semantic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escalated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semantic-conflict, fără permis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Ambiguitatea nu produce efect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Acțiune modificată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blocked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permit.action_mismatch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Permisul nu poate autoriza alt request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172B4D"/>
                <w:sz w:val="15"/>
              </w:rPr>
              <w:t>Replay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blocked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route.authorized urmat de permit_replayed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172B4D"/>
                <w:sz w:val="15"/>
              </w:rPr>
              <w:t>Acțiunea poate avea efect o singură dată</w:t>
            </w:r>
          </w:p>
        </w:tc>
      </w:tr>
    </w:tbl>
    <w:p>
      <w:pPr>
        <w:pStyle w:val="Heading2"/>
      </w:pPr>
      <w:r>
        <w:t>Criteriul de succes al celor două flight-uri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Security Flight: aceleași șase scenarii, fără scrieri DMS și fără decizii Gateway.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Transversal Flight: arhivează numai reviziile acceptate și aplică permisul prin Gateway.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În ambele cazuri, scenariile conforme produc efectul controlat, iar abaterile produc zero efecte neautorizate.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i w:val="0"/>
          <w:color w:val="172B4D"/>
          <w:sz w:val="21"/>
        </w:rPr>
        <w:t>Fiecare rulare se încheie cu un pachet verificabil și cu o intrare anti-tamper.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AEE7E1"/>
                <w:sz w:val="17"/>
              </w:rPr>
              <w:t>CONCLUZIE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FFFFFF"/>
                <w:sz w:val="21"/>
              </w:rPr>
              <w:t>SODIF nu automatizează orbește documentul; transformă aprobarea semnată într-un drept de execuție limitat, verificabil și consumabil o singură dată.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b w:val="0"/>
        <w:i w:val="0"/>
        <w:color w:val="5F6B7A"/>
        <w:sz w:val="16"/>
      </w:rPr>
      <w:t xml:space="preserve">PowerNet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72B4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SODIF — Signed Intent Infrastructure</dc:title>
  <dc:subject>Prezentare tehnică integrală a produsului SODIF</dc:subject>
  <dc:creator>SODIF Project Team</dc:creator>
  <cp:keywords>signed intent, cross-view integrity, execution permit, API gateway, document archive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