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bookmarkStart w:id="0" w:name="_GoBack"/>
      <w:bookmarkEnd w:id="0"/>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48898089"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07A45020"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w:t>
      </w:r>
      <w:r w:rsidR="00232B99">
        <w:t>species loss</w:t>
      </w:r>
      <w:r w:rsidR="00D97B61">
        <w:t xml:space="preserve">,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w:t>
      </w:r>
      <w:r w:rsidR="00132E6A">
        <w:t>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10E750C7" w:rsidR="00A92F9A" w:rsidRDefault="001A62D5" w:rsidP="005F7C5D">
      <w:pPr>
        <w:ind w:firstLine="720"/>
      </w:pPr>
      <w:r>
        <w:t>In a time of rapid global change,</w:t>
      </w:r>
      <w:r w:rsidR="00B35CD6">
        <w:t xml:space="preserve"> </w:t>
      </w:r>
      <w:r w:rsidR="00B225CB" w:rsidRPr="0007225D">
        <w:t>understand</w:t>
      </w:r>
      <w:r>
        <w:t>ing</w:t>
      </w:r>
      <w:r w:rsidR="00FE71DC" w:rsidRPr="0007225D">
        <w:t xml:space="preserve"> </w:t>
      </w:r>
      <w:r w:rsidR="00C803E9">
        <w:t xml:space="preserve">temporal </w:t>
      </w:r>
      <w:r w:rsidR="00FE71DC" w:rsidRPr="0007225D">
        <w:t>patterns of</w:t>
      </w:r>
      <w:r w:rsidR="00C80754">
        <w:t xml:space="preserve"> ecosystem </w:t>
      </w:r>
      <w:r w:rsidR="009C7F51">
        <w:t>response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0FD8E69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F68F14D"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615FBC" w:rsidRPr="00615FBC">
        <w:rPr>
          <w:i w:val="0"/>
          <w:iCs w:val="0"/>
          <w:color w:val="auto"/>
          <w:sz w:val="22"/>
          <w:szCs w:val="22"/>
        </w:rPr>
        <w:t>Figure</w:t>
      </w:r>
      <w:r w:rsidR="00615FBC" w:rsidRPr="00E062FC">
        <w:rPr>
          <w:i w:val="0"/>
          <w:iCs w:val="0"/>
          <w:color w:val="auto"/>
          <w:sz w:val="22"/>
          <w:szCs w:val="22"/>
        </w:rPr>
        <w:t xml:space="preserve"> 1</w:t>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w:t>
      </w:r>
      <w:r w:rsidR="005B2868">
        <w:rPr>
          <w:i w:val="0"/>
          <w:iCs w:val="0"/>
          <w:color w:val="auto"/>
          <w:sz w:val="22"/>
          <w:szCs w:val="22"/>
        </w:rPr>
        <w:t>an exotic</w:t>
      </w:r>
      <w:r w:rsidR="00C56564" w:rsidRPr="00535270">
        <w:rPr>
          <w:i w:val="0"/>
          <w:iCs w:val="0"/>
          <w:color w:val="auto"/>
          <w:sz w:val="22"/>
          <w:szCs w:val="22"/>
        </w:rPr>
        <w:t xml:space="preser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1D61AD">
        <w:rPr>
          <w:iCs w:val="0"/>
          <w:color w:val="auto"/>
          <w:sz w:val="22"/>
          <w:szCs w:val="22"/>
        </w:rPr>
        <w:t>Sidalcea hendersonii</w:t>
      </w:r>
      <w:r w:rsidR="00277767" w:rsidRPr="00DC704D">
        <w:rPr>
          <w:i w:val="0"/>
          <w:iCs w:val="0"/>
          <w:color w:val="auto"/>
          <w:sz w:val="22"/>
          <w:szCs w:val="22"/>
        </w:rPr>
        <w:t xml:space="preserve">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2AFD6DE8" w14:textId="56775F7A" w:rsidR="007C0BCF" w:rsidRDefault="00537848" w:rsidP="00612ED6">
      <w:pPr>
        <w:ind w:firstLine="720"/>
      </w:pPr>
      <w:r>
        <w:lastRenderedPageBreak/>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068A6866" w:rsidR="00151992" w:rsidRDefault="00537848" w:rsidP="005F7C5D">
      <w:pPr>
        <w:ind w:firstLine="720"/>
      </w:pPr>
      <w:r>
        <w:t xml:space="preserve">(3) </w:t>
      </w:r>
      <w:r w:rsidR="0021014A">
        <w:t>Are assemblages characterized by similar indicator species</w:t>
      </w:r>
      <w:r w:rsidR="00FF754B">
        <w:t xml:space="preserve">? If not, </w:t>
      </w:r>
      <w:r w:rsidR="00151992">
        <w:t xml:space="preserve">which species gained or lost are driving changes within each assemblage? </w:t>
      </w:r>
      <w:r w:rsidR="00C04EFB">
        <w:t>We</w:t>
      </w:r>
      <w:r w:rsidR="00F0046C">
        <w:t xml:space="preserve"> expect that increasing abundance of invasive species over time would result in greater </w:t>
      </w:r>
      <w:r w:rsidR="0069287A">
        <w:t xml:space="preserve">net </w:t>
      </w:r>
      <w:r w:rsidR="00F0046C">
        <w:t>number of species lost (and fewer</w:t>
      </w:r>
      <w:r w:rsidR="0069287A">
        <w:t xml:space="preserve"> net</w:t>
      </w:r>
      <w:r w:rsidR="00F0046C">
        <w:t xml:space="preserve"> species gained)</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695263A"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Pr="00DC704D">
        <w:t>(Schaefer, 2004)</w:t>
      </w:r>
      <w:r w:rsidRPr="001617DD">
        <w:fldChar w:fldCharType="end"/>
      </w:r>
      <w:r w:rsidRPr="00173A95">
        <w:t xml:space="preserve"> (</w:t>
      </w:r>
      <w:r w:rsidR="00615FBC">
        <w:t>Figure 1</w:t>
      </w:r>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615FBC">
        <w:t xml:space="preserve">Figure </w:t>
      </w:r>
      <w:r w:rsidR="00615FBC">
        <w:rPr>
          <w:noProof/>
        </w:rPr>
        <w:t>1</w:t>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6A360BBD"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73DD1857"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615FBC">
        <w:t xml:space="preserve">Figure </w:t>
      </w:r>
      <w:r w:rsidR="00615FBC">
        <w:rPr>
          <w:noProof/>
        </w:rPr>
        <w:t>1</w:t>
      </w:r>
      <w:r w:rsidR="007A5BC9">
        <w:t xml:space="preserve">, </w:t>
      </w:r>
      <w:r w:rsidR="00615FBC">
        <w:t>Table 3</w:t>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154FD20F" w:rsidR="00D4425C" w:rsidRDefault="00D4425C" w:rsidP="00F92C8A">
      <w:pPr>
        <w:ind w:firstLine="720"/>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615FBC">
        <w:rPr>
          <w:noProof/>
        </w:rPr>
        <w:t>Figure</w:t>
      </w:r>
      <w:r w:rsidR="00615FBC">
        <w:t xml:space="preserve"> </w:t>
      </w:r>
      <w:r w:rsidR="00615FBC">
        <w:rPr>
          <w:noProof/>
        </w:rPr>
        <w:t>1</w:t>
      </w:r>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w:t>
      </w:r>
      <w:proofErr w:type="spellStart"/>
      <w:r w:rsidR="00576443">
        <w:t>Blanquet</w:t>
      </w:r>
      <w:proofErr w:type="spellEnd"/>
      <w:r w:rsidR="00576443">
        <w:t xml:space="preserve">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DEDC50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615FBC">
        <w:t>Table 7</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2CE0BC7B" w14:textId="33A4CC82" w:rsidR="004B1258" w:rsidRDefault="00B47D6F" w:rsidP="00120429">
      <w:pPr>
        <w:pStyle w:val="Caption"/>
        <w:sectPr w:rsidR="004B1258" w:rsidSect="007D52A9">
          <w:headerReference w:type="default" r:id="rId12"/>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262B24" w:rsidRPr="00DC704D">
        <w:rPr>
          <w:i w:val="0"/>
          <w:iCs w:val="0"/>
          <w:color w:val="auto"/>
          <w:sz w:val="22"/>
          <w:szCs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and plots contained within the groups were used 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DC704D">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B94ABA" w:rsidRPr="00DC704D">
        <w:rPr>
          <w:i w:val="0"/>
          <w:iCs w:val="0"/>
          <w:color w:val="auto"/>
          <w:sz w:val="22"/>
          <w:szCs w:val="22"/>
        </w:rPr>
        <w:t xml:space="preserve"> </w:t>
      </w:r>
      <w:r w:rsidR="004B1258" w:rsidRPr="00120429">
        <w:rPr>
          <w:i w:val="0"/>
          <w:iCs w:val="0"/>
          <w:color w:val="auto"/>
          <w:sz w:val="22"/>
          <w:szCs w:val="22"/>
        </w:rPr>
        <w:t xml:space="preserve">Changes in mean cover abundance of species most significantly driving cluster groups were visualized as bar charts. Only the top three species most significantly driving assemblage clusters each year, as identified by species indicator analysis, were included for visual simplicity. All species cover abundance are summarized in </w:t>
      </w:r>
      <w:r w:rsidR="00615FBC" w:rsidRPr="00120429">
        <w:rPr>
          <w:i w:val="0"/>
          <w:iCs w:val="0"/>
          <w:color w:val="auto"/>
          <w:sz w:val="22"/>
          <w:szCs w:val="22"/>
        </w:rPr>
        <w:t>Table 7</w:t>
      </w:r>
      <w:r w:rsidR="004B1258" w:rsidRPr="00120429">
        <w:rPr>
          <w:i w:val="0"/>
          <w:iCs w:val="0"/>
          <w:color w:val="auto"/>
          <w:sz w:val="22"/>
          <w:szCs w:val="22"/>
        </w:rPr>
        <w:t xml:space="preserve"> (Supplemental)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28E6553C" w:rsidR="00FB6917" w:rsidRDefault="009A2A63" w:rsidP="00E72813">
      <w:bookmarkStart w:id="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bookmarkEnd w:id="1"/>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3A7FEF" w:rsidRPr="003A7FEF">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4451EFF1" w:rsidR="004B1258" w:rsidRPr="0040538A" w:rsidRDefault="004B1258" w:rsidP="004B1258">
      <w:pPr>
        <w:pStyle w:val="Caption"/>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(Table S5).</w:t>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3"/>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5"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6"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7"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18"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B6028C" w:rsidRDefault="00B6028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09ABDF12" w:rsidR="00B051DD" w:rsidRDefault="00B051DD" w:rsidP="00B051DD">
      <w:pPr>
        <w:pStyle w:val="Caption"/>
      </w:pPr>
      <w:bookmarkStart w:id="3" w:name="_Ref104553838"/>
      <w:r>
        <w:t xml:space="preserve">Figure </w:t>
      </w:r>
      <w:r w:rsidR="00483733">
        <w:fldChar w:fldCharType="begin"/>
      </w:r>
      <w:r w:rsidR="00483733">
        <w:instrText xml:space="preserve"> SEQ Figure \* ARABIC </w:instrText>
      </w:r>
      <w:r w:rsidR="00483733">
        <w:fldChar w:fldCharType="separate"/>
      </w:r>
      <w:r w:rsidR="00615FBC">
        <w:rPr>
          <w:noProof/>
        </w:rPr>
        <w:t>1</w:t>
      </w:r>
      <w:r w:rsidR="00483733">
        <w:rPr>
          <w:noProof/>
        </w:rPr>
        <w:fldChar w:fldCharType="end"/>
      </w:r>
      <w:bookmarkEnd w:id="2"/>
      <w:bookmarkEnd w:id="3"/>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4"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19" w:history="1">
        <w:r w:rsidR="00FF456A" w:rsidRPr="00FF456A">
          <w:rPr>
            <w:rStyle w:val="Hyperlink"/>
          </w:rPr>
          <w:t>https://maps.gov.bc.ca/ess/hm/imap4m/</w:t>
        </w:r>
      </w:hyperlink>
      <w:r w:rsidR="00FF456A" w:rsidRPr="00FF456A">
        <w:t xml:space="preserve">) and (C) OpenStreetMap (OpenStreetMap contributors, 2015, </w:t>
      </w:r>
      <w:hyperlink r:id="rId20" w:history="1">
        <w:r w:rsidR="00FF456A" w:rsidRPr="00FF456A">
          <w:rPr>
            <w:rStyle w:val="Hyperlink"/>
          </w:rPr>
          <w:t>https://www.openstreetmap.org/</w:t>
        </w:r>
      </w:hyperlink>
      <w:r w:rsidR="00FF456A" w:rsidRPr="00FF456A">
        <w:t>)</w:t>
      </w:r>
      <w:bookmarkEnd w:id="4"/>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0632C7A0" w14:textId="7C8BE98C" w:rsidR="009D1A0A" w:rsidRPr="00141FD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C27CB3">
        <w:t>. H</w:t>
      </w:r>
      <w:r w:rsidR="002B6766">
        <w:t>owever</w:t>
      </w:r>
      <w:r w:rsidR="00C27CB3">
        <w:t>,</w:t>
      </w:r>
      <w:r w:rsidR="002B6766">
        <w:t xml:space="preserve"> cluster analysis shows </w:t>
      </w:r>
      <w:r w:rsidR="00942DF3">
        <w:t xml:space="preserve">species cover is becoming more </w:t>
      </w:r>
      <w:r w:rsidR="00BB4ABC">
        <w:t>homogenous</w:t>
      </w:r>
      <w:r w:rsidR="00942DF3">
        <w:t xml:space="preserve"> within assemblages</w:t>
      </w:r>
      <w:r w:rsidR="00BB4ABC">
        <w:t>, but more distinct between assemblages</w:t>
      </w:r>
      <w:r w:rsidR="009E30A6">
        <w:t xml:space="preserve"> </w:t>
      </w:r>
      <w:r w:rsidR="009E30A6" w:rsidRPr="00791A3B">
        <w:t>(</w:t>
      </w:r>
      <w:r w:rsidR="00615FBC">
        <w:t xml:space="preserve">Figure </w:t>
      </w:r>
      <w:r w:rsidR="00615FBC">
        <w:rPr>
          <w:noProof/>
        </w:rPr>
        <w:t>2</w:t>
      </w:r>
      <w:r w:rsidR="009E30A6" w:rsidRPr="00791A3B">
        <w:t>)</w:t>
      </w:r>
      <w:r w:rsidR="00942DF3">
        <w:t xml:space="preserve">. </w:t>
      </w:r>
      <w:r w:rsidR="00F66803">
        <w:t xml:space="preserve">While the indicator species </w:t>
      </w:r>
      <w:r w:rsidR="00E01451">
        <w:t xml:space="preserve">with </w:t>
      </w:r>
      <w:r w:rsidR="00A65634">
        <w:t>greater</w:t>
      </w:r>
      <w:r w:rsidR="00E01451">
        <w:t xml:space="preserve"> significance </w:t>
      </w:r>
      <w:r w:rsidR="00F66803">
        <w:t xml:space="preserve">across each assemblage remain </w:t>
      </w:r>
      <w:r w:rsidR="00E01451">
        <w:t>constant</w:t>
      </w:r>
      <w:r w:rsidR="00F66803">
        <w:t xml:space="preserve"> over time </w:t>
      </w:r>
      <w:r w:rsidR="000B68F2">
        <w:t>(</w:t>
      </w:r>
      <w:r w:rsidR="00446B55" w:rsidRPr="00DC704D">
        <w:rPr>
          <w:i/>
        </w:rPr>
        <w:t>i.e.</w:t>
      </w:r>
      <w:r w:rsidR="00446B55">
        <w:t>,</w:t>
      </w:r>
      <w:r w:rsidR="000B68F2">
        <w:t xml:space="preserve"> </w:t>
      </w:r>
      <w:r w:rsidR="000B68F2" w:rsidRPr="00DC704D">
        <w:rPr>
          <w:i/>
        </w:rPr>
        <w:t>Carex lyngbyei</w:t>
      </w:r>
      <w:r w:rsidR="00A65634">
        <w:t xml:space="preserve">, </w:t>
      </w:r>
      <w:r w:rsidR="00A65634">
        <w:rPr>
          <w:i/>
        </w:rPr>
        <w:t>Menyanthes trifoliata, Fescue arundinaceae</w:t>
      </w:r>
      <w:r w:rsidR="000B68F2">
        <w:t>) an</w:t>
      </w:r>
      <w:r w:rsidR="00F66803">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r w:rsidR="00615FBC">
        <w:t>Table 1</w:t>
      </w:r>
      <w:r w:rsidR="004B5A6B">
        <w:t>,</w:t>
      </w:r>
      <w:r w:rsidR="00791A3B">
        <w:t xml:space="preserve"> </w:t>
      </w:r>
      <w:r w:rsidR="00615FBC" w:rsidRPr="00615FBC">
        <w:t>Table 4</w:t>
      </w:r>
      <w:r w:rsidR="005C1666" w:rsidRPr="00F96909">
        <w:t>)</w:t>
      </w:r>
      <w:r w:rsidR="005C1666">
        <w:t xml:space="preserve">. </w:t>
      </w:r>
      <w:r w:rsidR="000B68F2">
        <w:t xml:space="preserve">For </w:t>
      </w:r>
      <w:r w:rsidR="008E28D2">
        <w:t>example,</w:t>
      </w:r>
      <w:r w:rsidR="00B3227D">
        <w:t xml:space="preserve"> in 1979</w:t>
      </w:r>
      <w:r w:rsidR="00A25A9F">
        <w:t xml:space="preserve"> the </w:t>
      </w:r>
      <w:r w:rsidR="00A1508C">
        <w:t xml:space="preserve">indicator species defining the </w:t>
      </w:r>
      <w:r w:rsidR="00A25A9F">
        <w:t xml:space="preserve">Sedge assemblage </w:t>
      </w:r>
      <w:r w:rsidR="00B3227D">
        <w:t xml:space="preserve">cluster </w:t>
      </w:r>
      <w:r w:rsidR="002D3D31">
        <w:t>were</w:t>
      </w:r>
      <w:r w:rsidR="00B3227D">
        <w:t xml:space="preserve"> </w:t>
      </w:r>
      <w:r w:rsidR="00B3227D">
        <w:rPr>
          <w:i/>
        </w:rPr>
        <w:t xml:space="preserve">C. lyngbyei, S. latifolia, </w:t>
      </w:r>
      <w:r w:rsidR="00B3227D">
        <w:t xml:space="preserve">and </w:t>
      </w:r>
      <w:r w:rsidR="00B3227D">
        <w:rPr>
          <w:i/>
        </w:rPr>
        <w:t>S. tabernaemontani</w:t>
      </w:r>
      <w:r w:rsidR="00B3227D">
        <w:t xml:space="preserve">, however in 1999 the same assemblage </w:t>
      </w:r>
      <w:r w:rsidR="002D3D31">
        <w:t>included indicator species</w:t>
      </w:r>
      <w:r w:rsidR="00B3227D">
        <w:t xml:space="preserve"> </w:t>
      </w:r>
      <w:r w:rsidR="00B3227D">
        <w:rPr>
          <w:i/>
        </w:rPr>
        <w:t xml:space="preserve">C. lyngbyei, A. stolonifera, </w:t>
      </w:r>
      <w:r w:rsidR="00B3227D">
        <w:t xml:space="preserve">and </w:t>
      </w:r>
      <w:r w:rsidR="00B3227D">
        <w:rPr>
          <w:i/>
        </w:rPr>
        <w:t>I. capensis</w:t>
      </w:r>
      <w:r w:rsidR="00B3227D">
        <w:t xml:space="preserve">. </w:t>
      </w:r>
      <w:r w:rsidR="00A06E47">
        <w:t xml:space="preserve">Thus, although </w:t>
      </w:r>
      <w:r w:rsidR="00A06E47">
        <w:rPr>
          <w:i/>
        </w:rPr>
        <w:t>C. lyngbyei</w:t>
      </w:r>
      <w:r w:rsidR="00A06E47">
        <w:t xml:space="preserve"> remained the common </w:t>
      </w:r>
      <w:r w:rsidR="002D3D31">
        <w:t>indicator</w:t>
      </w:r>
      <w:r w:rsidR="00A06E47">
        <w:t xml:space="preserve"> species </w:t>
      </w:r>
      <w:r w:rsidR="00444F7F">
        <w:t>of the assemblage</w:t>
      </w:r>
      <w:r w:rsidR="00A06E47">
        <w:t xml:space="preserve"> cluster group</w:t>
      </w:r>
      <w:r w:rsidR="00444F7F">
        <w:t xml:space="preserve">, the associated </w:t>
      </w:r>
      <w:r w:rsidR="002D3D31">
        <w:t>indicator</w:t>
      </w:r>
      <w:r w:rsidR="00444F7F">
        <w:t xml:space="preserve"> species had changed. </w:t>
      </w:r>
      <w:r w:rsidR="002B4227">
        <w:t>Additionally, f</w:t>
      </w:r>
      <w:r w:rsidR="00D417C6">
        <w:t xml:space="preserve">ewer </w:t>
      </w:r>
      <w:r w:rsidR="002D3D31">
        <w:t xml:space="preserve">indicator </w:t>
      </w:r>
      <w:r w:rsidR="00D417C6">
        <w:t xml:space="preserve">species </w:t>
      </w:r>
      <w:r w:rsidR="002D3D31">
        <w:t xml:space="preserve">were </w:t>
      </w:r>
      <w:r w:rsidR="006122A6">
        <w:t xml:space="preserve">found in the Sedge and Fescue </w:t>
      </w:r>
      <w:r w:rsidR="00D417C6">
        <w:t>assemblage</w:t>
      </w:r>
      <w:r w:rsidR="006122A6">
        <w:t>s</w:t>
      </w:r>
      <w:r w:rsidR="00D417C6">
        <w:t xml:space="preserve"> in 2019 than in 1979. For example, the Sedge assemblage was characterized by three species (including </w:t>
      </w:r>
      <w:r w:rsidR="00D417C6">
        <w:rPr>
          <w:i/>
        </w:rPr>
        <w:t>C. lyngbyei</w:t>
      </w:r>
      <w:r w:rsidR="00D417C6">
        <w:t>) in 1979</w:t>
      </w:r>
      <w:r w:rsidR="006122A6">
        <w:t xml:space="preserve"> and 1999</w:t>
      </w:r>
      <w:r w:rsidR="00D417C6">
        <w:t xml:space="preserve">, but only by </w:t>
      </w:r>
      <w:r w:rsidR="00D417C6">
        <w:rPr>
          <w:i/>
        </w:rPr>
        <w:t>C. lyngbyei</w:t>
      </w:r>
      <w:r w:rsidR="00D417C6">
        <w:t xml:space="preserve"> in 2019. The Fescue group was characterized by seven species in 1979, four species in 1999, and three species in </w:t>
      </w:r>
      <w:r w:rsidR="005A73BE">
        <w:t xml:space="preserve">2019. While </w:t>
      </w:r>
      <w:r w:rsidR="005A73BE">
        <w:rPr>
          <w:i/>
        </w:rPr>
        <w:t>Festuca arundinaceae</w:t>
      </w:r>
      <w:r w:rsidR="005A73BE">
        <w:t xml:space="preserve"> re</w:t>
      </w:r>
      <w:r w:rsidR="00754CEC">
        <w:t xml:space="preserve">mained a common indicator species within the assemblage, all other indicator species changed </w:t>
      </w:r>
      <w:r w:rsidR="005C7E26">
        <w:t xml:space="preserve">in each observation year. </w:t>
      </w:r>
    </w:p>
    <w:p w14:paraId="610C5A4E" w14:textId="75233692" w:rsidR="0080524E" w:rsidRPr="00AB3637" w:rsidRDefault="001617DD" w:rsidP="004B5A6B">
      <w:pPr>
        <w:pStyle w:val="Caption"/>
        <w:ind w:firstLine="720"/>
        <w:rPr>
          <w:i w:val="0"/>
          <w:iCs w:val="0"/>
          <w:color w:val="auto"/>
          <w:sz w:val="22"/>
          <w:szCs w:val="22"/>
        </w:rPr>
      </w:pPr>
      <w:bookmarkStart w:id="5" w:name="_Hlk106053520"/>
      <w:r w:rsidRPr="001617DD">
        <w:rPr>
          <w:i w:val="0"/>
          <w:iCs w:val="0"/>
          <w:color w:val="auto"/>
          <w:sz w:val="22"/>
          <w:szCs w:val="22"/>
        </w:rPr>
        <w:t xml:space="preserve">Across the entire Ladner Marsh plant community, two to three species were lost each year following the 1979 survey </w:t>
      </w:r>
      <w:r w:rsidR="00967299" w:rsidRPr="007D52A9">
        <w:rPr>
          <w:i w:val="0"/>
          <w:iCs w:val="0"/>
          <w:color w:val="auto"/>
          <w:sz w:val="22"/>
          <w:szCs w:val="22"/>
        </w:rPr>
        <w:t>(</w:t>
      </w:r>
      <w:r w:rsidR="00615FBC" w:rsidRPr="00615FBC">
        <w:rPr>
          <w:i w:val="0"/>
          <w:iCs w:val="0"/>
          <w:color w:val="auto"/>
          <w:sz w:val="22"/>
          <w:szCs w:val="22"/>
        </w:rPr>
        <w:t>Table 2</w:t>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r w:rsidR="00FD4B64">
        <w:rPr>
          <w:i w:val="0"/>
          <w:iCs w:val="0"/>
          <w:color w:val="auto"/>
          <w:sz w:val="22"/>
          <w:szCs w:val="22"/>
        </w:rPr>
        <w:t xml:space="preserve"> per plot</w:t>
      </w:r>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r w:rsidR="001A6EA1">
        <w:rPr>
          <w:i w:val="0"/>
          <w:iCs w:val="0"/>
          <w:color w:val="auto"/>
          <w:sz w:val="22"/>
          <w:szCs w:val="22"/>
        </w:rPr>
        <w:t xml:space="preserve"> while beta-diversity</w:t>
      </w:r>
      <w:r w:rsidR="00FD4B64">
        <w:rPr>
          <w:i w:val="0"/>
          <w:iCs w:val="0"/>
          <w:color w:val="auto"/>
          <w:sz w:val="22"/>
          <w:szCs w:val="22"/>
        </w:rPr>
        <w:t xml:space="preserve"> (</w:t>
      </w:r>
      <w:r w:rsidR="006753B2">
        <w:rPr>
          <w:i w:val="0"/>
          <w:iCs w:val="0"/>
          <w:color w:val="auto"/>
          <w:sz w:val="22"/>
          <w:szCs w:val="22"/>
        </w:rPr>
        <w:t>variation in number of species between plots)</w:t>
      </w:r>
      <w:r w:rsidR="001A6EA1">
        <w:rPr>
          <w:i w:val="0"/>
          <w:iCs w:val="0"/>
          <w:color w:val="auto"/>
          <w:sz w:val="22"/>
          <w:szCs w:val="22"/>
        </w:rPr>
        <w:t xml:space="preserve"> increased each year for all assemblages</w:t>
      </w:r>
      <w:r w:rsidR="008B2154">
        <w:rPr>
          <w:i w:val="0"/>
          <w:iCs w:val="0"/>
          <w:color w:val="auto"/>
          <w:sz w:val="22"/>
          <w:szCs w:val="22"/>
        </w:rPr>
        <w:t xml:space="preserve"> (</w:t>
      </w:r>
      <w:r w:rsidR="00615FBC" w:rsidRPr="00615FBC">
        <w:rPr>
          <w:i w:val="0"/>
          <w:iCs w:val="0"/>
          <w:color w:val="auto"/>
          <w:sz w:val="22"/>
          <w:szCs w:val="22"/>
        </w:rPr>
        <w:t>Table 2</w:t>
      </w:r>
      <w:r w:rsidR="008B2154">
        <w:rPr>
          <w:i w:val="0"/>
          <w:iCs w:val="0"/>
          <w:color w:val="auto"/>
          <w:sz w:val="22"/>
          <w:szCs w:val="22"/>
        </w:rPr>
        <w:t>)</w:t>
      </w:r>
      <w:r w:rsidR="001A6EA1">
        <w:rPr>
          <w:i w:val="0"/>
          <w:iCs w:val="0"/>
          <w:color w:val="auto"/>
          <w:sz w:val="22"/>
          <w:szCs w:val="22"/>
        </w:rPr>
        <w:t xml:space="preserve">. </w:t>
      </w:r>
      <w:r w:rsidR="006B7D31" w:rsidRPr="00AB3637">
        <w:rPr>
          <w:i w:val="0"/>
          <w:iCs w:val="0"/>
          <w:color w:val="auto"/>
          <w:sz w:val="22"/>
          <w:szCs w:val="22"/>
        </w:rPr>
        <w:t>For example,</w:t>
      </w:r>
      <w:r w:rsidR="00AB3637" w:rsidRPr="00AB3637">
        <w:rPr>
          <w:i w:val="0"/>
          <w:iCs w:val="0"/>
          <w:color w:val="auto"/>
          <w:sz w:val="22"/>
          <w:szCs w:val="22"/>
        </w:rPr>
        <w:t xml:space="preserve"> </w:t>
      </w:r>
      <w:r w:rsidR="00AB3637" w:rsidRPr="00DC704D">
        <w:rPr>
          <w:i w:val="0"/>
          <w:iCs w:val="0"/>
          <w:color w:val="auto"/>
          <w:sz w:val="22"/>
          <w:szCs w:val="22"/>
        </w:rPr>
        <w:t xml:space="preserve">the </w:t>
      </w:r>
      <w:r w:rsidR="004E5737">
        <w:rPr>
          <w:i w:val="0"/>
          <w:iCs w:val="0"/>
          <w:color w:val="auto"/>
          <w:sz w:val="22"/>
          <w:szCs w:val="22"/>
        </w:rPr>
        <w:t>S</w:t>
      </w:r>
      <w:r w:rsidR="00AB3637" w:rsidRPr="00DC704D">
        <w:rPr>
          <w:i w:val="0"/>
          <w:iCs w:val="0"/>
          <w:color w:val="auto"/>
          <w:sz w:val="22"/>
          <w:szCs w:val="22"/>
        </w:rPr>
        <w:t>edge community suffered the least loss of species and alpha-diversity across sampling years, although beta-diversity increased as in other assemblages, indicating increasing variability</w:t>
      </w:r>
      <w:r w:rsidR="00EA3303">
        <w:rPr>
          <w:i w:val="0"/>
          <w:iCs w:val="0"/>
          <w:color w:val="auto"/>
          <w:sz w:val="22"/>
          <w:szCs w:val="22"/>
        </w:rPr>
        <w:t xml:space="preserve"> (and thus increased rarity)</w:t>
      </w:r>
      <w:r w:rsidR="00AB3637" w:rsidRPr="00DC704D">
        <w:rPr>
          <w:i w:val="0"/>
          <w:iCs w:val="0"/>
          <w:color w:val="auto"/>
          <w:sz w:val="22"/>
          <w:szCs w:val="22"/>
        </w:rPr>
        <w:t xml:space="preserve"> in which species may be encountered within a given assemblage. </w:t>
      </w:r>
      <w:r w:rsidR="00AB3637" w:rsidRPr="00AB3637">
        <w:rPr>
          <w:i w:val="0"/>
          <w:iCs w:val="0"/>
          <w:color w:val="auto"/>
          <w:sz w:val="22"/>
          <w:szCs w:val="22"/>
        </w:rPr>
        <w:t>T</w:t>
      </w:r>
      <w:r w:rsidR="001A6EA1" w:rsidRPr="00AB3637">
        <w:rPr>
          <w:i w:val="0"/>
          <w:iCs w:val="0"/>
          <w:color w:val="auto"/>
          <w:sz w:val="22"/>
          <w:szCs w:val="22"/>
        </w:rPr>
        <w:t>he</w:t>
      </w:r>
      <w:r w:rsidR="00967299" w:rsidRPr="00AB3637">
        <w:rPr>
          <w:i w:val="0"/>
          <w:iCs w:val="0"/>
          <w:color w:val="auto"/>
          <w:sz w:val="22"/>
          <w:szCs w:val="22"/>
        </w:rPr>
        <w:t xml:space="preserve"> Fescue assemblage</w:t>
      </w:r>
      <w:r w:rsidR="002A28FF" w:rsidRPr="00AB3637">
        <w:rPr>
          <w:i w:val="0"/>
          <w:iCs w:val="0"/>
          <w:color w:val="auto"/>
          <w:sz w:val="22"/>
          <w:szCs w:val="22"/>
        </w:rPr>
        <w:t xml:space="preserve"> had the greatest loss </w:t>
      </w:r>
      <w:r w:rsidR="00646478" w:rsidRPr="00AB3637">
        <w:rPr>
          <w:i w:val="0"/>
          <w:iCs w:val="0"/>
          <w:color w:val="auto"/>
          <w:sz w:val="22"/>
          <w:szCs w:val="22"/>
        </w:rPr>
        <w:t>of</w:t>
      </w:r>
      <w:r w:rsidR="002A28FF" w:rsidRPr="00AB3637">
        <w:rPr>
          <w:i w:val="0"/>
          <w:iCs w:val="0"/>
          <w:color w:val="auto"/>
          <w:sz w:val="22"/>
          <w:szCs w:val="22"/>
        </w:rPr>
        <w:t xml:space="preserve"> alpha-diversity</w:t>
      </w:r>
      <w:r w:rsidR="00646478" w:rsidRPr="00AB3637">
        <w:rPr>
          <w:i w:val="0"/>
          <w:iCs w:val="0"/>
          <w:color w:val="auto"/>
          <w:sz w:val="22"/>
          <w:szCs w:val="22"/>
        </w:rPr>
        <w:t xml:space="preserve"> (&gt; 50%) between 1979 and 2019. Nearly 50% fewer plots clustered as Fescue in 2019 than in 1979, however</w:t>
      </w:r>
      <w:r w:rsidR="006260D4" w:rsidRPr="00AB3637">
        <w:rPr>
          <w:i w:val="0"/>
          <w:iCs w:val="0"/>
          <w:color w:val="auto"/>
          <w:sz w:val="22"/>
          <w:szCs w:val="22"/>
        </w:rPr>
        <w:t xml:space="preserve"> bootstrapping 1</w:t>
      </w:r>
      <w:r w:rsidR="009C4383">
        <w:rPr>
          <w:i w:val="0"/>
          <w:iCs w:val="0"/>
          <w:color w:val="auto"/>
          <w:sz w:val="22"/>
          <w:szCs w:val="22"/>
        </w:rPr>
        <w:t>8</w:t>
      </w:r>
      <w:r w:rsidR="006260D4" w:rsidRPr="00AB3637">
        <w:rPr>
          <w:i w:val="0"/>
          <w:iCs w:val="0"/>
          <w:color w:val="auto"/>
          <w:sz w:val="22"/>
          <w:szCs w:val="22"/>
        </w:rPr>
        <w:t xml:space="preserve"> random plots</w:t>
      </w:r>
      <w:r w:rsidR="002B1438" w:rsidRPr="00AB3637">
        <w:rPr>
          <w:i w:val="0"/>
          <w:iCs w:val="0"/>
          <w:color w:val="auto"/>
          <w:sz w:val="22"/>
          <w:szCs w:val="22"/>
        </w:rPr>
        <w:t xml:space="preserve"> from every sampling year</w:t>
      </w:r>
      <w:r w:rsidR="006260D4" w:rsidRPr="00AB3637">
        <w:rPr>
          <w:i w:val="0"/>
          <w:iCs w:val="0"/>
          <w:color w:val="auto"/>
          <w:sz w:val="22"/>
          <w:szCs w:val="22"/>
        </w:rPr>
        <w:t xml:space="preserve"> showed the same trend, indicating that loss of species is not related to loss of plots (</w:t>
      </w:r>
      <w:r w:rsidR="00091870">
        <w:rPr>
          <w:i w:val="0"/>
          <w:iCs w:val="0"/>
          <w:color w:val="auto"/>
          <w:sz w:val="22"/>
          <w:szCs w:val="22"/>
        </w:rPr>
        <w:t>Table S5)</w:t>
      </w:r>
      <w:r w:rsidR="000A57D0" w:rsidRPr="00AB3637">
        <w:rPr>
          <w:i w:val="0"/>
          <w:iCs w:val="0"/>
          <w:color w:val="auto"/>
          <w:sz w:val="22"/>
          <w:szCs w:val="22"/>
        </w:rPr>
        <w:t xml:space="preserve">. </w:t>
      </w:r>
      <w:r w:rsidR="00646478" w:rsidRPr="00AB3637">
        <w:rPr>
          <w:i w:val="0"/>
          <w:iCs w:val="0"/>
          <w:color w:val="auto"/>
          <w:sz w:val="22"/>
          <w:szCs w:val="22"/>
        </w:rPr>
        <w:t>The</w:t>
      </w:r>
      <w:r w:rsidR="00967299" w:rsidRPr="00AB3637">
        <w:rPr>
          <w:i w:val="0"/>
          <w:iCs w:val="0"/>
          <w:color w:val="auto"/>
          <w:sz w:val="22"/>
          <w:szCs w:val="22"/>
        </w:rPr>
        <w:t xml:space="preserve"> Bogbean assemblage had ~20% decrease in alpha-diversity</w:t>
      </w:r>
      <w:r w:rsidR="001326DF" w:rsidRPr="00AB3637">
        <w:rPr>
          <w:i w:val="0"/>
          <w:iCs w:val="0"/>
          <w:color w:val="auto"/>
          <w:sz w:val="22"/>
          <w:szCs w:val="22"/>
        </w:rPr>
        <w:t xml:space="preserve"> since 1979</w:t>
      </w:r>
      <w:r w:rsidR="00967299" w:rsidRPr="00AB3637">
        <w:rPr>
          <w:i w:val="0"/>
          <w:iCs w:val="0"/>
          <w:color w:val="auto"/>
          <w:sz w:val="22"/>
          <w:szCs w:val="22"/>
        </w:rPr>
        <w:t xml:space="preserve"> despite an increase </w:t>
      </w:r>
      <w:r w:rsidR="00967299" w:rsidRPr="002A39AE">
        <w:rPr>
          <w:i w:val="0"/>
          <w:iCs w:val="0"/>
          <w:color w:val="auto"/>
          <w:sz w:val="22"/>
          <w:szCs w:val="22"/>
        </w:rPr>
        <w:t>of ~47% more plots by 2019.</w:t>
      </w:r>
      <w:r w:rsidR="001326DF" w:rsidRPr="002A39AE">
        <w:rPr>
          <w:i w:val="0"/>
          <w:iCs w:val="0"/>
          <w:color w:val="auto"/>
          <w:sz w:val="22"/>
          <w:szCs w:val="22"/>
        </w:rPr>
        <w:t xml:space="preserve"> </w:t>
      </w:r>
    </w:p>
    <w:bookmarkEnd w:id="5"/>
    <w:p w14:paraId="3F3E7064" w14:textId="5F48A9FC" w:rsidR="00EC4678" w:rsidRPr="007D52A9" w:rsidRDefault="009E3CA2" w:rsidP="00DC704D">
      <w:pPr>
        <w:pStyle w:val="Caption"/>
        <w:ind w:firstLine="720"/>
        <w:rPr>
          <w:i w:val="0"/>
          <w:iCs w:val="0"/>
          <w:color w:val="auto"/>
          <w:sz w:val="22"/>
          <w:szCs w:val="22"/>
        </w:rPr>
      </w:pPr>
      <w:r w:rsidRPr="007D52A9">
        <w:rPr>
          <w:i w:val="0"/>
          <w:iCs w:val="0"/>
          <w:color w:val="auto"/>
          <w:sz w:val="22"/>
          <w:szCs w:val="22"/>
        </w:rPr>
        <w:t xml:space="preserve">Total </w:t>
      </w:r>
      <w:r w:rsidR="00A10EB3">
        <w:rPr>
          <w:i w:val="0"/>
          <w:iCs w:val="0"/>
          <w:color w:val="auto"/>
          <w:sz w:val="22"/>
          <w:szCs w:val="22"/>
        </w:rPr>
        <w:t xml:space="preserve">magnitude of </w:t>
      </w:r>
      <w:r w:rsidRPr="007D52A9">
        <w:rPr>
          <w:i w:val="0"/>
          <w:iCs w:val="0"/>
          <w:color w:val="auto"/>
          <w:sz w:val="22"/>
          <w:szCs w:val="22"/>
        </w:rPr>
        <w:t>species turnover between 19</w:t>
      </w:r>
      <w:r w:rsidR="004269BE">
        <w:rPr>
          <w:i w:val="0"/>
          <w:iCs w:val="0"/>
          <w:color w:val="auto"/>
          <w:sz w:val="22"/>
          <w:szCs w:val="22"/>
        </w:rPr>
        <w:t>9</w:t>
      </w:r>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615FBC" w:rsidRPr="00615FBC">
        <w:rPr>
          <w:i w:val="0"/>
          <w:iCs w:val="0"/>
          <w:color w:val="auto"/>
          <w:sz w:val="22"/>
          <w:szCs w:val="22"/>
        </w:rPr>
        <w:t>Table 6</w:t>
      </w:r>
      <w:r w:rsidR="006D411C" w:rsidRPr="007D52A9">
        <w:rPr>
          <w:i w:val="0"/>
          <w:iCs w:val="0"/>
          <w:color w:val="auto"/>
          <w:sz w:val="22"/>
          <w:szCs w:val="22"/>
        </w:rPr>
        <w:t>)</w:t>
      </w:r>
      <w:r w:rsidR="00A65739">
        <w:rPr>
          <w:i w:val="0"/>
          <w:iCs w:val="0"/>
          <w:color w:val="auto"/>
          <w:sz w:val="22"/>
          <w:szCs w:val="22"/>
        </w:rPr>
        <w:t>, largely driven by greater sp</w:t>
      </w:r>
      <w:r w:rsidR="00A65739" w:rsidRPr="00DE0985">
        <w:rPr>
          <w:i w:val="0"/>
          <w:iCs w:val="0"/>
          <w:color w:val="auto"/>
          <w:sz w:val="22"/>
          <w:szCs w:val="22"/>
        </w:rPr>
        <w:t xml:space="preserve">ecies </w:t>
      </w:r>
      <w:r w:rsidR="00F77679" w:rsidRPr="00DC704D">
        <w:rPr>
          <w:i w:val="0"/>
          <w:iCs w:val="0"/>
          <w:color w:val="auto"/>
          <w:sz w:val="22"/>
          <w:szCs w:val="22"/>
        </w:rPr>
        <w:t>disappearance</w:t>
      </w:r>
      <w:r w:rsidR="00EA7939" w:rsidRPr="00DC704D">
        <w:rPr>
          <w:i w:val="0"/>
          <w:iCs w:val="0"/>
          <w:color w:val="auto"/>
          <w:sz w:val="22"/>
          <w:szCs w:val="22"/>
        </w:rPr>
        <w:t xml:space="preserve"> (loss)</w:t>
      </w:r>
      <w:r w:rsidR="00F77679" w:rsidRPr="00DC704D">
        <w:rPr>
          <w:i w:val="0"/>
          <w:iCs w:val="0"/>
          <w:color w:val="auto"/>
          <w:sz w:val="22"/>
          <w:szCs w:val="22"/>
        </w:rPr>
        <w:t xml:space="preserve"> between </w:t>
      </w:r>
      <w:r w:rsidR="006E7FF9" w:rsidRPr="00DE0985">
        <w:rPr>
          <w:i w:val="0"/>
          <w:iCs w:val="0"/>
          <w:color w:val="auto"/>
          <w:sz w:val="22"/>
          <w:szCs w:val="22"/>
        </w:rPr>
        <w:t>19</w:t>
      </w:r>
      <w:r w:rsidR="005A646D">
        <w:rPr>
          <w:i w:val="0"/>
          <w:iCs w:val="0"/>
          <w:color w:val="auto"/>
          <w:sz w:val="22"/>
          <w:szCs w:val="22"/>
        </w:rPr>
        <w:t>9</w:t>
      </w:r>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 </w:t>
      </w:r>
      <w:r w:rsidR="0022504C">
        <w:rPr>
          <w:i w:val="0"/>
          <w:iCs w:val="0"/>
          <w:color w:val="auto"/>
          <w:sz w:val="22"/>
          <w:szCs w:val="22"/>
        </w:rPr>
        <w:t>For example</w:t>
      </w:r>
      <w:r w:rsidR="00A65739">
        <w:rPr>
          <w:i w:val="0"/>
          <w:iCs w:val="0"/>
          <w:color w:val="auto"/>
          <w:sz w:val="22"/>
          <w:szCs w:val="22"/>
        </w:rPr>
        <w:t>, rate of species disappearance roughly doubled</w:t>
      </w:r>
      <w:r w:rsidR="00BB0030">
        <w:rPr>
          <w:i w:val="0"/>
          <w:iCs w:val="0"/>
          <w:color w:val="auto"/>
          <w:sz w:val="22"/>
          <w:szCs w:val="22"/>
        </w:rPr>
        <w:t xml:space="preserve"> in each assemblage</w:t>
      </w:r>
      <w:r w:rsidR="00A65739">
        <w:rPr>
          <w:i w:val="0"/>
          <w:iCs w:val="0"/>
          <w:color w:val="auto"/>
          <w:sz w:val="22"/>
          <w:szCs w:val="22"/>
        </w:rPr>
        <w:t xml:space="preserve"> between </w:t>
      </w:r>
      <w:r w:rsidR="005A646D">
        <w:rPr>
          <w:i w:val="0"/>
          <w:iCs w:val="0"/>
          <w:color w:val="auto"/>
          <w:sz w:val="22"/>
          <w:szCs w:val="22"/>
        </w:rPr>
        <w:t>1979-</w:t>
      </w:r>
      <w:r w:rsidR="00A65739">
        <w:rPr>
          <w:i w:val="0"/>
          <w:iCs w:val="0"/>
          <w:color w:val="auto"/>
          <w:sz w:val="22"/>
          <w:szCs w:val="22"/>
        </w:rPr>
        <w:t xml:space="preserve">1999 and </w:t>
      </w:r>
      <w:r w:rsidR="005A646D">
        <w:rPr>
          <w:i w:val="0"/>
          <w:iCs w:val="0"/>
          <w:color w:val="auto"/>
          <w:sz w:val="22"/>
          <w:szCs w:val="22"/>
        </w:rPr>
        <w:t>1999-</w:t>
      </w:r>
      <w:r w:rsidR="00A65739">
        <w:rPr>
          <w:i w:val="0"/>
          <w:iCs w:val="0"/>
          <w:color w:val="auto"/>
          <w:sz w:val="22"/>
          <w:szCs w:val="22"/>
        </w:rPr>
        <w:t>2019</w:t>
      </w:r>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r w:rsidR="00EF0807">
        <w:rPr>
          <w:i w:val="0"/>
          <w:iCs w:val="0"/>
          <w:color w:val="auto"/>
          <w:sz w:val="22"/>
          <w:szCs w:val="22"/>
        </w:rPr>
        <w:t xml:space="preserve">appearances </w:t>
      </w:r>
      <w:r w:rsidR="00D81553">
        <w:rPr>
          <w:i w:val="0"/>
          <w:iCs w:val="0"/>
          <w:color w:val="auto"/>
          <w:sz w:val="22"/>
          <w:szCs w:val="22"/>
        </w:rPr>
        <w:t>in</w:t>
      </w:r>
      <w:r w:rsidR="00BB0030">
        <w:rPr>
          <w:i w:val="0"/>
          <w:iCs w:val="0"/>
          <w:color w:val="auto"/>
          <w:sz w:val="22"/>
          <w:szCs w:val="22"/>
        </w:rPr>
        <w:t xml:space="preserve"> </w:t>
      </w:r>
      <w:r w:rsidR="00EF0807">
        <w:rPr>
          <w:i w:val="0"/>
          <w:iCs w:val="0"/>
          <w:color w:val="auto"/>
          <w:sz w:val="22"/>
          <w:szCs w:val="22"/>
        </w:rPr>
        <w:t>each</w:t>
      </w:r>
      <w:r w:rsidR="00BA0F76">
        <w:rPr>
          <w:i w:val="0"/>
          <w:iCs w:val="0"/>
          <w:color w:val="auto"/>
          <w:sz w:val="22"/>
          <w:szCs w:val="22"/>
        </w:rPr>
        <w:t xml:space="preserve"> assemblage </w:t>
      </w:r>
      <w:r w:rsidR="00D81553">
        <w:rPr>
          <w:i w:val="0"/>
          <w:iCs w:val="0"/>
          <w:color w:val="auto"/>
          <w:sz w:val="22"/>
          <w:szCs w:val="22"/>
        </w:rPr>
        <w:t xml:space="preserve">were not as </w:t>
      </w:r>
      <w:r w:rsidR="00752CEE">
        <w:rPr>
          <w:i w:val="0"/>
          <w:iCs w:val="0"/>
          <w:color w:val="auto"/>
          <w:sz w:val="22"/>
          <w:szCs w:val="22"/>
        </w:rPr>
        <w:t>great. In fact, new species appearance</w:t>
      </w:r>
      <w:r w:rsidR="005A646D">
        <w:rPr>
          <w:i w:val="0"/>
          <w:iCs w:val="0"/>
          <w:color w:val="auto"/>
          <w:sz w:val="22"/>
          <w:szCs w:val="22"/>
        </w:rPr>
        <w:t xml:space="preserve"> 1999-2019</w:t>
      </w:r>
      <w:r w:rsidR="00BE6419">
        <w:rPr>
          <w:i w:val="0"/>
          <w:iCs w:val="0"/>
          <w:color w:val="auto"/>
          <w:sz w:val="22"/>
          <w:szCs w:val="22"/>
        </w:rPr>
        <w:t xml:space="preserve"> compared to 1979-1999 </w:t>
      </w:r>
      <w:r w:rsidR="00BA0F76">
        <w:rPr>
          <w:i w:val="0"/>
          <w:iCs w:val="0"/>
          <w:color w:val="auto"/>
          <w:sz w:val="22"/>
          <w:szCs w:val="22"/>
        </w:rPr>
        <w:t xml:space="preserve">declined by 5% </w:t>
      </w:r>
      <w:r w:rsidR="00752CEE">
        <w:rPr>
          <w:i w:val="0"/>
          <w:iCs w:val="0"/>
          <w:color w:val="auto"/>
          <w:sz w:val="22"/>
          <w:szCs w:val="22"/>
        </w:rPr>
        <w:t>in the bogbean assemblage</w:t>
      </w:r>
      <w:r w:rsidR="00BA0F76">
        <w:rPr>
          <w:i w:val="0"/>
          <w:iCs w:val="0"/>
          <w:color w:val="auto"/>
          <w:sz w:val="22"/>
          <w:szCs w:val="22"/>
        </w:rPr>
        <w:t xml:space="preserve">, increased by 2% </w:t>
      </w:r>
      <w:r w:rsidR="00752CEE">
        <w:rPr>
          <w:i w:val="0"/>
          <w:iCs w:val="0"/>
          <w:color w:val="auto"/>
          <w:sz w:val="22"/>
          <w:szCs w:val="22"/>
        </w:rPr>
        <w:t xml:space="preserve">in the Fescue assemblage, and increased by 9% in the sedge assemblage.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EA7939">
        <w:rPr>
          <w:i w:val="0"/>
          <w:iCs w:val="0"/>
          <w:color w:val="auto"/>
          <w:sz w:val="22"/>
          <w:szCs w:val="22"/>
        </w:rPr>
        <w:t xml:space="preserve"> (gain)</w:t>
      </w:r>
      <w:r w:rsidR="00023269" w:rsidRPr="007D52A9">
        <w:rPr>
          <w:i w:val="0"/>
          <w:iCs w:val="0"/>
          <w:color w:val="auto"/>
          <w:sz w:val="22"/>
          <w:szCs w:val="22"/>
        </w:rPr>
        <w:t xml:space="preserve"> </w:t>
      </w:r>
      <w:r w:rsidR="00BE6419">
        <w:rPr>
          <w:i w:val="0"/>
          <w:iCs w:val="0"/>
          <w:color w:val="auto"/>
          <w:sz w:val="22"/>
          <w:szCs w:val="22"/>
        </w:rPr>
        <w:t>from 1999-</w:t>
      </w:r>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r w:rsidR="00BE6419">
        <w:rPr>
          <w:i w:val="0"/>
          <w:iCs w:val="0"/>
          <w:color w:val="auto"/>
          <w:sz w:val="22"/>
          <w:szCs w:val="22"/>
        </w:rPr>
        <w:t>from 1979-</w:t>
      </w:r>
      <w:r w:rsidR="006D411C" w:rsidRPr="00656D64">
        <w:rPr>
          <w:i w:val="0"/>
          <w:iCs w:val="0"/>
          <w:color w:val="auto"/>
          <w:sz w:val="22"/>
          <w:szCs w:val="22"/>
        </w:rPr>
        <w:t>1999.</w:t>
      </w:r>
      <w:r w:rsidR="00BE6419">
        <w:rPr>
          <w:i w:val="0"/>
          <w:iCs w:val="0"/>
          <w:color w:val="auto"/>
          <w:sz w:val="22"/>
          <w:szCs w:val="22"/>
        </w:rPr>
        <w:t xml:space="preserve"> While these ratios do not account for species disappearing and reappearing </w:t>
      </w:r>
      <w:r w:rsidR="006F63DA">
        <w:rPr>
          <w:i w:val="0"/>
          <w:iCs w:val="0"/>
          <w:color w:val="auto"/>
          <w:sz w:val="22"/>
          <w:szCs w:val="22"/>
        </w:rPr>
        <w:t>in the same assemblage between 1979 and 2019, t</w:t>
      </w:r>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C92E39">
        <w:rPr>
          <w:i w:val="0"/>
          <w:iCs w:val="0"/>
          <w:color w:val="auto"/>
          <w:sz w:val="22"/>
          <w:szCs w:val="22"/>
        </w:rPr>
        <w:t xml:space="preserve"> the overall loss of species in each sampling timepoint. </w:t>
      </w:r>
      <w:r w:rsidR="00EC4678" w:rsidRPr="00656D64">
        <w:rPr>
          <w:i w:val="0"/>
          <w:iCs w:val="0"/>
          <w:color w:val="auto"/>
          <w:sz w:val="22"/>
          <w:szCs w:val="22"/>
        </w:rPr>
        <w:t xml:space="preserve"> </w:t>
      </w:r>
    </w:p>
    <w:p w14:paraId="3D519838" w14:textId="0D4787CD" w:rsidR="009D1A0A" w:rsidRPr="009D1A0A" w:rsidRDefault="00EB0607" w:rsidP="00DC704D">
      <w:pPr>
        <w:ind w:firstLine="720"/>
      </w:pPr>
      <w:r>
        <w:t xml:space="preserve">Cover </w:t>
      </w:r>
      <w:r w:rsidR="00FC7EC2">
        <w:t xml:space="preserve">abundance </w:t>
      </w:r>
      <w:r>
        <w:t xml:space="preserve">of species </w:t>
      </w:r>
      <w:r w:rsidR="00FC7EC2">
        <w:t xml:space="preserve">significantly driving </w:t>
      </w:r>
      <w:r>
        <w:t>assemblage associations show</w:t>
      </w:r>
      <w:r w:rsidR="00BE6592">
        <w:t xml:space="preserve"> an overall</w:t>
      </w:r>
      <w:r>
        <w:t xml:space="preserve"> trend of decreasing cover over time </w:t>
      </w:r>
      <w:r w:rsidR="00D075CE" w:rsidRPr="00C56065">
        <w:t>(</w:t>
      </w:r>
      <w:r w:rsidR="00615FBC">
        <w:t xml:space="preserve">Figure </w:t>
      </w:r>
      <w:r w:rsidR="00615FBC">
        <w:rPr>
          <w:noProof/>
        </w:rPr>
        <w:t>3</w:t>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BE6592">
        <w:rPr>
          <w:i/>
        </w:rPr>
        <w:t xml:space="preserve"> </w:t>
      </w:r>
      <w:r w:rsidR="00BE6592">
        <w:t>between 1979 and 2019</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w:t>
      </w:r>
      <w:r w:rsidR="009A71BD">
        <w:t>tripled</w:t>
      </w:r>
      <w:r w:rsidR="009A71BD" w:rsidRPr="00C56065">
        <w:t xml:space="preserve"> </w:t>
      </w:r>
      <w:r w:rsidR="00060358" w:rsidRPr="00C56065">
        <w:t xml:space="preserve">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w:t>
      </w:r>
      <w:r w:rsidR="00BB21C0">
        <w:t xml:space="preserve">although cover abundance in 2019 was ~20% less than in 1979. Additionally,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w:t>
      </w:r>
      <w:r w:rsidR="00BB21C0">
        <w:t>in the Bogbean assemblage</w:t>
      </w:r>
      <w:r w:rsidR="00CD760E">
        <w:t xml:space="preserve"> by 2019. </w:t>
      </w:r>
      <w:r w:rsidR="0077186C">
        <w:t xml:space="preserve">In summary, </w:t>
      </w:r>
      <w:r w:rsidR="00481F1F">
        <w:t xml:space="preserve">while the dominant species are maintained, their cover abundance within each assemblage is declining. Moreover, </w:t>
      </w:r>
      <w:r w:rsidR="005B5681">
        <w:t xml:space="preserve">some </w:t>
      </w:r>
      <w:r w:rsidR="00481F1F">
        <w:lastRenderedPageBreak/>
        <w:t xml:space="preserve">invasive species have increased substantially in cover abundance </w:t>
      </w:r>
      <w:r w:rsidR="00115FDC">
        <w:t xml:space="preserve">in the Fescue and Bogbean assemblages </w:t>
      </w:r>
      <w:r w:rsidR="005B5681">
        <w:t>since the original survey, indicating the</w:t>
      </w:r>
      <w:r w:rsidR="00115FDC">
        <w:t>se</w:t>
      </w:r>
      <w:r w:rsidR="005B5681">
        <w:t xml:space="preserve"> </w:t>
      </w:r>
      <w:r w:rsidR="00115FDC">
        <w:t>assemblages are</w:t>
      </w:r>
      <w:r w:rsidR="005B5681">
        <w:t xml:space="preserve"> becoming increasingly occupied by non-native species.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44233" cy="3340146"/>
                    </a:xfrm>
                    <a:prstGeom prst="rect">
                      <a:avLst/>
                    </a:prstGeom>
                  </pic:spPr>
                </pic:pic>
              </a:graphicData>
            </a:graphic>
          </wp:inline>
        </w:drawing>
      </w:r>
    </w:p>
    <w:p w14:paraId="33960BA8" w14:textId="493C8B89" w:rsidR="00FE1C76" w:rsidRDefault="00F2017D" w:rsidP="00F2017D">
      <w:pPr>
        <w:pStyle w:val="Caption"/>
      </w:pPr>
      <w:bookmarkStart w:id="6" w:name="_Ref94197029"/>
      <w:r>
        <w:t xml:space="preserve">Figure </w:t>
      </w:r>
      <w:r w:rsidR="00483733">
        <w:fldChar w:fldCharType="begin"/>
      </w:r>
      <w:r w:rsidR="00483733">
        <w:instrText xml:space="preserve"> SEQ Figure \* ARABIC </w:instrText>
      </w:r>
      <w:r w:rsidR="00483733">
        <w:fldChar w:fldCharType="separate"/>
      </w:r>
      <w:r w:rsidR="00615FBC">
        <w:rPr>
          <w:noProof/>
        </w:rPr>
        <w:t>2</w:t>
      </w:r>
      <w:r w:rsidR="00483733">
        <w:rPr>
          <w:noProof/>
        </w:rPr>
        <w:fldChar w:fldCharType="end"/>
      </w:r>
      <w:bookmarkEnd w:id="6"/>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 xml:space="preserve">Notably, species cover of the sedge and fescue groups become more similar in 2019. </w:t>
      </w:r>
    </w:p>
    <w:p w14:paraId="354ED2D5" w14:textId="77777777" w:rsidR="00AD4549" w:rsidRDefault="00AD4549" w:rsidP="00AD4549">
      <w:pPr>
        <w:sectPr w:rsidR="00AD4549" w:rsidSect="000D7921">
          <w:headerReference w:type="default" r:id="rId23"/>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 w14:paraId="34F5F4BC" w14:textId="7D94166D" w:rsidR="00973A9E" w:rsidRDefault="00C876B9" w:rsidP="00973A9E">
      <w:pPr>
        <w:pStyle w:val="Caption"/>
        <w:keepNext/>
      </w:pPr>
      <w:bookmarkStart w:id="7" w:name="_Ref104813883"/>
      <w:commentRangeStart w:id="8"/>
      <w:commentRangeStart w:id="9"/>
      <w:r>
        <w:t xml:space="preserve">Table </w:t>
      </w:r>
      <w:commentRangeEnd w:id="8"/>
      <w:r w:rsidR="003D217F">
        <w:rPr>
          <w:rStyle w:val="CommentReference"/>
          <w:i w:val="0"/>
          <w:iCs w:val="0"/>
          <w:color w:val="auto"/>
        </w:rPr>
        <w:commentReference w:id="8"/>
      </w:r>
      <w:commentRangeEnd w:id="9"/>
      <w:r w:rsidR="005F05BC">
        <w:rPr>
          <w:rStyle w:val="CommentReference"/>
          <w:i w:val="0"/>
          <w:iCs w:val="0"/>
          <w:color w:val="auto"/>
        </w:rPr>
        <w:commentReference w:id="9"/>
      </w:r>
      <w:r w:rsidR="00483733">
        <w:fldChar w:fldCharType="begin"/>
      </w:r>
      <w:r w:rsidR="00483733">
        <w:instrText xml:space="preserve"> SEQ Table \* ARABIC </w:instrText>
      </w:r>
      <w:r w:rsidR="00483733">
        <w:fldChar w:fldCharType="separate"/>
      </w:r>
      <w:r w:rsidR="00615FBC">
        <w:rPr>
          <w:noProof/>
        </w:rPr>
        <w:t>1</w:t>
      </w:r>
      <w:r w:rsidR="00483733">
        <w:rPr>
          <w:noProof/>
        </w:rPr>
        <w:fldChar w:fldCharType="end"/>
      </w:r>
      <w:bookmarkEnd w:id="7"/>
      <w:r>
        <w:t xml:space="preserve">. Species indicator analysis of cluster groups using Euclidean distance identifies the same dominant species in each assemblage type (Sedge, Fescue, Bogbean) as significantly driving clustering of assemblages over time. </w:t>
      </w:r>
      <w:proofErr w:type="spellStart"/>
      <w:r w:rsidR="00B23904">
        <w:t>IndVal</w:t>
      </w:r>
      <w:proofErr w:type="spellEnd"/>
      <w:r w:rsidR="00B23904">
        <w:t xml:space="preserve"> statistic reports</w:t>
      </w:r>
      <w:r w:rsidR="004B1CD4">
        <w:t xml:space="preserve"> </w:t>
      </w:r>
      <w:r w:rsidR="004B1CD4" w:rsidRPr="004B1CD4">
        <w:t>association indices between species and plots within each cluster</w:t>
      </w:r>
      <w:r w:rsidR="00B23904">
        <w:t xml:space="preserve">; p-values &lt; 0.05 indicate the species is significantly </w:t>
      </w:r>
      <w:r w:rsidR="00CF4F30">
        <w:t>defining the clustering</w:t>
      </w:r>
      <w:r w:rsidR="00270100">
        <w:t xml:space="preserve"> association</w:t>
      </w:r>
      <w:r w:rsidR="00CF4F30">
        <w:t xml:space="preserve"> within </w:t>
      </w:r>
      <w:r w:rsidR="00270100">
        <w:t>each</w:t>
      </w:r>
      <w:r w:rsidR="00CF4F30">
        <w:t xml:space="preserve"> assemblage and observation year. </w:t>
      </w:r>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14:paraId="3CCFACDD" w14:textId="77777777" w:rsidTr="00973A9E">
        <w:trPr>
          <w:trHeight w:val="260"/>
        </w:trPr>
        <w:tc>
          <w:tcPr>
            <w:tcW w:w="1080" w:type="dxa"/>
            <w:tcBorders>
              <w:top w:val="nil"/>
              <w:left w:val="nil"/>
              <w:bottom w:val="single" w:sz="4" w:space="0" w:color="auto"/>
              <w:right w:val="nil"/>
            </w:tcBorders>
            <w:shd w:val="clear" w:color="auto" w:fill="auto"/>
            <w:noWrap/>
            <w:vAlign w:val="bottom"/>
            <w:hideMark/>
          </w:tcPr>
          <w:p w14:paraId="5ABAB0A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7B0AF5D7"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1999</w:t>
            </w:r>
          </w:p>
        </w:tc>
        <w:tc>
          <w:tcPr>
            <w:tcW w:w="300" w:type="dxa"/>
            <w:tcBorders>
              <w:top w:val="nil"/>
              <w:left w:val="nil"/>
              <w:bottom w:val="nil"/>
              <w:right w:val="nil"/>
            </w:tcBorders>
            <w:shd w:val="clear" w:color="auto" w:fill="auto"/>
            <w:noWrap/>
            <w:vAlign w:val="bottom"/>
            <w:hideMark/>
          </w:tcPr>
          <w:p w14:paraId="2BB67B73"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77777777" w:rsidR="00973A9E" w:rsidRPr="00973A9E" w:rsidRDefault="00973A9E" w:rsidP="00973A9E">
            <w:pPr>
              <w:spacing w:after="0" w:line="240" w:lineRule="auto"/>
              <w:jc w:val="center"/>
              <w:rPr>
                <w:rFonts w:ascii="Calibri" w:eastAsia="Times New Roman" w:hAnsi="Calibri" w:cs="Calibri"/>
                <w:b/>
                <w:bCs/>
                <w:color w:val="000000"/>
                <w:sz w:val="20"/>
                <w:szCs w:val="20"/>
              </w:rPr>
            </w:pPr>
            <w:r w:rsidRPr="00973A9E">
              <w:rPr>
                <w:rFonts w:ascii="Calibri" w:eastAsia="Times New Roman" w:hAnsi="Calibri" w:cs="Calibri"/>
                <w:b/>
                <w:bCs/>
                <w:color w:val="000000"/>
                <w:sz w:val="20"/>
                <w:szCs w:val="20"/>
              </w:rPr>
              <w:t>2019</w:t>
            </w:r>
          </w:p>
        </w:tc>
      </w:tr>
      <w:tr w:rsidR="00973A9E" w:rsidRPr="00973A9E" w14:paraId="45DE576B" w14:textId="77777777" w:rsidTr="00973A9E">
        <w:trPr>
          <w:trHeight w:val="780"/>
        </w:trPr>
        <w:tc>
          <w:tcPr>
            <w:tcW w:w="1080" w:type="dxa"/>
            <w:tcBorders>
              <w:top w:val="nil"/>
              <w:left w:val="nil"/>
              <w:bottom w:val="single" w:sz="4" w:space="0" w:color="auto"/>
              <w:right w:val="nil"/>
            </w:tcBorders>
            <w:shd w:val="clear" w:color="auto" w:fill="auto"/>
            <w:vAlign w:val="center"/>
            <w:hideMark/>
          </w:tcPr>
          <w:p w14:paraId="06276DA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Cluster Group Name</w:t>
            </w:r>
          </w:p>
        </w:tc>
        <w:tc>
          <w:tcPr>
            <w:tcW w:w="2959" w:type="dxa"/>
            <w:tcBorders>
              <w:top w:val="nil"/>
              <w:left w:val="nil"/>
              <w:bottom w:val="single" w:sz="4" w:space="0" w:color="auto"/>
              <w:right w:val="nil"/>
            </w:tcBorders>
            <w:shd w:val="clear" w:color="auto" w:fill="auto"/>
            <w:noWrap/>
            <w:vAlign w:val="center"/>
            <w:hideMark/>
          </w:tcPr>
          <w:p w14:paraId="31A78C6C"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81" w:type="dxa"/>
            <w:tcBorders>
              <w:top w:val="nil"/>
              <w:left w:val="nil"/>
              <w:bottom w:val="single" w:sz="4" w:space="0" w:color="auto"/>
              <w:right w:val="nil"/>
            </w:tcBorders>
            <w:shd w:val="clear" w:color="auto" w:fill="auto"/>
            <w:noWrap/>
            <w:vAlign w:val="center"/>
            <w:hideMark/>
          </w:tcPr>
          <w:p w14:paraId="03C2C76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62688EC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91" w:type="dxa"/>
            <w:tcBorders>
              <w:top w:val="nil"/>
              <w:left w:val="nil"/>
              <w:bottom w:val="single" w:sz="4" w:space="0" w:color="auto"/>
              <w:right w:val="nil"/>
            </w:tcBorders>
            <w:shd w:val="clear" w:color="auto" w:fill="auto"/>
            <w:noWrap/>
            <w:vAlign w:val="center"/>
            <w:hideMark/>
          </w:tcPr>
          <w:p w14:paraId="448F7CA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center"/>
            <w:hideMark/>
          </w:tcPr>
          <w:p w14:paraId="4FAED216"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Species</w:t>
            </w:r>
          </w:p>
        </w:tc>
        <w:tc>
          <w:tcPr>
            <w:tcW w:w="693" w:type="dxa"/>
            <w:tcBorders>
              <w:top w:val="nil"/>
              <w:left w:val="nil"/>
              <w:bottom w:val="single" w:sz="4" w:space="0" w:color="auto"/>
              <w:right w:val="nil"/>
            </w:tcBorders>
            <w:shd w:val="clear" w:color="auto" w:fill="auto"/>
            <w:noWrap/>
            <w:vAlign w:val="center"/>
            <w:hideMark/>
          </w:tcPr>
          <w:p w14:paraId="26C099F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p-value</w:t>
            </w:r>
          </w:p>
        </w:tc>
      </w:tr>
      <w:tr w:rsidR="00973A9E" w:rsidRPr="00973A9E" w14:paraId="4457FB82" w14:textId="77777777" w:rsidTr="00973A9E">
        <w:trPr>
          <w:trHeight w:val="270"/>
        </w:trPr>
        <w:tc>
          <w:tcPr>
            <w:tcW w:w="1080" w:type="dxa"/>
            <w:tcBorders>
              <w:top w:val="nil"/>
              <w:left w:val="nil"/>
              <w:bottom w:val="nil"/>
              <w:right w:val="nil"/>
            </w:tcBorders>
            <w:shd w:val="clear" w:color="auto" w:fill="auto"/>
            <w:vAlign w:val="bottom"/>
            <w:hideMark/>
          </w:tcPr>
          <w:p w14:paraId="7DCC70E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01A64366"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"Sedge"</w:t>
            </w:r>
          </w:p>
        </w:tc>
        <w:tc>
          <w:tcPr>
            <w:tcW w:w="2959" w:type="dxa"/>
            <w:tcBorders>
              <w:top w:val="single" w:sz="8" w:space="0" w:color="auto"/>
              <w:left w:val="nil"/>
              <w:bottom w:val="nil"/>
              <w:right w:val="nil"/>
            </w:tcBorders>
            <w:shd w:val="clear" w:color="auto" w:fill="auto"/>
            <w:noWrap/>
            <w:vAlign w:val="bottom"/>
            <w:hideMark/>
          </w:tcPr>
          <w:p w14:paraId="220C31A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81" w:type="dxa"/>
            <w:tcBorders>
              <w:top w:val="single" w:sz="8" w:space="0" w:color="auto"/>
              <w:left w:val="nil"/>
              <w:bottom w:val="nil"/>
              <w:right w:val="nil"/>
            </w:tcBorders>
            <w:shd w:val="clear" w:color="auto" w:fill="auto"/>
            <w:noWrap/>
            <w:vAlign w:val="bottom"/>
            <w:hideMark/>
          </w:tcPr>
          <w:p w14:paraId="48DA0A1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6FC3060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27CC02CE"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91" w:type="dxa"/>
            <w:tcBorders>
              <w:top w:val="single" w:sz="8" w:space="0" w:color="auto"/>
              <w:left w:val="nil"/>
              <w:bottom w:val="nil"/>
              <w:right w:val="nil"/>
            </w:tcBorders>
            <w:shd w:val="clear" w:color="auto" w:fill="auto"/>
            <w:noWrap/>
            <w:vAlign w:val="bottom"/>
            <w:hideMark/>
          </w:tcPr>
          <w:p w14:paraId="589469D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50ACF7C7"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Carex lyngbyei</w:t>
            </w:r>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D153EF6"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745434"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Sagittaria latifolia</w:t>
            </w:r>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7C33BB4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Agrostis stolonifera</w:t>
            </w:r>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5C94093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1B7F719B"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31D60B9"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Schoenoplectus tabernaemontani</w:t>
            </w:r>
          </w:p>
        </w:tc>
        <w:tc>
          <w:tcPr>
            <w:tcW w:w="681" w:type="dxa"/>
            <w:tcBorders>
              <w:top w:val="nil"/>
              <w:left w:val="nil"/>
              <w:bottom w:val="single" w:sz="8" w:space="0" w:color="auto"/>
              <w:right w:val="nil"/>
            </w:tcBorders>
            <w:shd w:val="clear" w:color="auto" w:fill="auto"/>
            <w:noWrap/>
            <w:vAlign w:val="bottom"/>
            <w:hideMark/>
          </w:tcPr>
          <w:p w14:paraId="6FE7AC8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0.0002</w:t>
            </w:r>
          </w:p>
        </w:tc>
        <w:tc>
          <w:tcPr>
            <w:tcW w:w="300" w:type="dxa"/>
            <w:tcBorders>
              <w:top w:val="nil"/>
              <w:left w:val="nil"/>
              <w:bottom w:val="single" w:sz="8" w:space="0" w:color="auto"/>
              <w:right w:val="nil"/>
            </w:tcBorders>
            <w:shd w:val="clear" w:color="auto" w:fill="auto"/>
            <w:noWrap/>
            <w:vAlign w:val="bottom"/>
            <w:hideMark/>
          </w:tcPr>
          <w:p w14:paraId="25D2BFA4"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10EAF2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Impatiens capensis</w:t>
            </w:r>
          </w:p>
        </w:tc>
        <w:tc>
          <w:tcPr>
            <w:tcW w:w="691" w:type="dxa"/>
            <w:tcBorders>
              <w:top w:val="nil"/>
              <w:left w:val="nil"/>
              <w:bottom w:val="single" w:sz="8" w:space="0" w:color="auto"/>
              <w:right w:val="nil"/>
            </w:tcBorders>
            <w:shd w:val="clear" w:color="auto" w:fill="auto"/>
            <w:noWrap/>
            <w:vAlign w:val="bottom"/>
            <w:hideMark/>
          </w:tcPr>
          <w:p w14:paraId="4B6223F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0.0147</w:t>
            </w:r>
          </w:p>
        </w:tc>
        <w:tc>
          <w:tcPr>
            <w:tcW w:w="300" w:type="dxa"/>
            <w:tcBorders>
              <w:top w:val="nil"/>
              <w:left w:val="nil"/>
              <w:bottom w:val="single" w:sz="8" w:space="0" w:color="auto"/>
              <w:right w:val="nil"/>
            </w:tcBorders>
            <w:shd w:val="clear" w:color="auto" w:fill="auto"/>
            <w:noWrap/>
            <w:vAlign w:val="bottom"/>
            <w:hideMark/>
          </w:tcPr>
          <w:p w14:paraId="0F0A886F"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220CBA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282AA2E5" w14:textId="77777777" w:rsidTr="00973A9E">
        <w:trPr>
          <w:trHeight w:val="270"/>
        </w:trPr>
        <w:tc>
          <w:tcPr>
            <w:tcW w:w="1080" w:type="dxa"/>
            <w:tcBorders>
              <w:top w:val="nil"/>
              <w:left w:val="nil"/>
              <w:bottom w:val="nil"/>
              <w:right w:val="nil"/>
            </w:tcBorders>
            <w:shd w:val="clear" w:color="auto" w:fill="auto"/>
            <w:vAlign w:val="bottom"/>
            <w:hideMark/>
          </w:tcPr>
          <w:p w14:paraId="03360E1F"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69E0EF02"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"Fescue"</w:t>
            </w:r>
          </w:p>
        </w:tc>
        <w:tc>
          <w:tcPr>
            <w:tcW w:w="2959" w:type="dxa"/>
            <w:tcBorders>
              <w:top w:val="single" w:sz="8" w:space="0" w:color="auto"/>
              <w:left w:val="nil"/>
              <w:bottom w:val="nil"/>
              <w:right w:val="nil"/>
            </w:tcBorders>
            <w:shd w:val="clear" w:color="auto" w:fill="auto"/>
            <w:noWrap/>
            <w:vAlign w:val="bottom"/>
            <w:hideMark/>
          </w:tcPr>
          <w:p w14:paraId="5CAE7530"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81" w:type="dxa"/>
            <w:tcBorders>
              <w:top w:val="single" w:sz="8" w:space="0" w:color="auto"/>
              <w:left w:val="nil"/>
              <w:bottom w:val="nil"/>
              <w:right w:val="nil"/>
            </w:tcBorders>
            <w:shd w:val="clear" w:color="auto" w:fill="auto"/>
            <w:noWrap/>
            <w:vAlign w:val="bottom"/>
            <w:hideMark/>
          </w:tcPr>
          <w:p w14:paraId="2BD2A5D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B30855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F79285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Poa palustris</w:t>
            </w:r>
          </w:p>
        </w:tc>
        <w:tc>
          <w:tcPr>
            <w:tcW w:w="691" w:type="dxa"/>
            <w:tcBorders>
              <w:top w:val="single" w:sz="8" w:space="0" w:color="auto"/>
              <w:left w:val="nil"/>
              <w:bottom w:val="nil"/>
              <w:right w:val="nil"/>
            </w:tcBorders>
            <w:shd w:val="clear" w:color="auto" w:fill="auto"/>
            <w:noWrap/>
            <w:vAlign w:val="bottom"/>
            <w:hideMark/>
          </w:tcPr>
          <w:p w14:paraId="060D462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4648467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5DC515D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17CB8DB2"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53DFE35"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Salix lasiandra</w:t>
            </w:r>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565AD00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7D01C0F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Festuca arundinaceae</w:t>
            </w:r>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0.0005</w:t>
            </w:r>
          </w:p>
        </w:tc>
      </w:tr>
      <w:tr w:rsidR="00973A9E" w:rsidRPr="00973A9E" w14:paraId="2A4C910C"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707AC78"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palustre</w:t>
            </w:r>
          </w:p>
        </w:tc>
        <w:tc>
          <w:tcPr>
            <w:tcW w:w="681" w:type="dxa"/>
            <w:tcBorders>
              <w:top w:val="nil"/>
              <w:left w:val="nil"/>
              <w:bottom w:val="nil"/>
              <w:right w:val="nil"/>
            </w:tcBorders>
            <w:shd w:val="clear" w:color="auto" w:fill="auto"/>
            <w:noWrap/>
            <w:vAlign w:val="bottom"/>
            <w:hideMark/>
          </w:tcPr>
          <w:p w14:paraId="7FAE15E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548C2D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xml:space="preserve">Trifolium </w:t>
            </w:r>
            <w:proofErr w:type="spellStart"/>
            <w:r w:rsidRPr="00973A9E">
              <w:rPr>
                <w:rFonts w:ascii="Calibri" w:eastAsia="Times New Roman" w:hAnsi="Calibri" w:cs="Calibri"/>
                <w:i/>
                <w:iCs/>
                <w:color w:val="000000"/>
                <w:sz w:val="20"/>
                <w:szCs w:val="20"/>
              </w:rPr>
              <w:t>wormskjoldii</w:t>
            </w:r>
            <w:proofErr w:type="spellEnd"/>
          </w:p>
        </w:tc>
        <w:tc>
          <w:tcPr>
            <w:tcW w:w="691" w:type="dxa"/>
            <w:tcBorders>
              <w:top w:val="nil"/>
              <w:left w:val="nil"/>
              <w:bottom w:val="nil"/>
              <w:right w:val="nil"/>
            </w:tcBorders>
            <w:shd w:val="clear" w:color="auto" w:fill="auto"/>
            <w:noWrap/>
            <w:vAlign w:val="bottom"/>
            <w:hideMark/>
          </w:tcPr>
          <w:p w14:paraId="43ABE2F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0.0015</w:t>
            </w:r>
          </w:p>
        </w:tc>
        <w:tc>
          <w:tcPr>
            <w:tcW w:w="300" w:type="dxa"/>
            <w:tcBorders>
              <w:top w:val="nil"/>
              <w:left w:val="nil"/>
              <w:bottom w:val="nil"/>
              <w:right w:val="nil"/>
            </w:tcBorders>
            <w:shd w:val="clear" w:color="auto" w:fill="auto"/>
            <w:noWrap/>
            <w:vAlign w:val="bottom"/>
            <w:hideMark/>
          </w:tcPr>
          <w:p w14:paraId="342E9EB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0.0122</w:t>
            </w:r>
          </w:p>
        </w:tc>
      </w:tr>
      <w:tr w:rsidR="00973A9E" w:rsidRPr="00973A9E" w14:paraId="4E33A409"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65472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Lathyrus palustris</w:t>
            </w:r>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0.0002</w:t>
            </w:r>
          </w:p>
        </w:tc>
        <w:tc>
          <w:tcPr>
            <w:tcW w:w="300" w:type="dxa"/>
            <w:tcBorders>
              <w:top w:val="nil"/>
              <w:left w:val="nil"/>
              <w:bottom w:val="nil"/>
              <w:right w:val="nil"/>
            </w:tcBorders>
            <w:shd w:val="clear" w:color="auto" w:fill="auto"/>
            <w:noWrap/>
            <w:vAlign w:val="bottom"/>
            <w:hideMark/>
          </w:tcPr>
          <w:p w14:paraId="133242F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Bidens cernua</w:t>
            </w:r>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64C3BF5B"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64679008"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28D9C4"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77777777" w:rsidR="00973A9E" w:rsidRPr="00973A9E" w:rsidRDefault="00973A9E" w:rsidP="00973A9E">
            <w:pPr>
              <w:spacing w:after="0" w:line="240" w:lineRule="auto"/>
              <w:rPr>
                <w:rFonts w:ascii="Calibri" w:eastAsia="Times New Roman" w:hAnsi="Calibri" w:cs="Calibri"/>
                <w:i/>
                <w:iCs/>
                <w:color w:val="000000"/>
                <w:sz w:val="20"/>
                <w:szCs w:val="20"/>
              </w:rPr>
            </w:pPr>
            <w:proofErr w:type="spellStart"/>
            <w:r w:rsidRPr="00973A9E">
              <w:rPr>
                <w:rFonts w:ascii="Calibri" w:eastAsia="Times New Roman" w:hAnsi="Calibri" w:cs="Calibri"/>
                <w:i/>
                <w:iCs/>
                <w:color w:val="000000"/>
                <w:sz w:val="20"/>
                <w:szCs w:val="20"/>
              </w:rPr>
              <w:t>Sidalcia</w:t>
            </w:r>
            <w:proofErr w:type="spellEnd"/>
            <w:r w:rsidRPr="00973A9E">
              <w:rPr>
                <w:rFonts w:ascii="Calibri" w:eastAsia="Times New Roman" w:hAnsi="Calibri" w:cs="Calibri"/>
                <w:i/>
                <w:iCs/>
                <w:color w:val="000000"/>
                <w:sz w:val="20"/>
                <w:szCs w:val="20"/>
              </w:rPr>
              <w:t xml:space="preserve"> hendersonii</w:t>
            </w:r>
          </w:p>
        </w:tc>
        <w:tc>
          <w:tcPr>
            <w:tcW w:w="681" w:type="dxa"/>
            <w:tcBorders>
              <w:top w:val="nil"/>
              <w:left w:val="nil"/>
              <w:bottom w:val="nil"/>
              <w:right w:val="nil"/>
            </w:tcBorders>
            <w:shd w:val="clear" w:color="auto" w:fill="auto"/>
            <w:noWrap/>
            <w:vAlign w:val="bottom"/>
            <w:hideMark/>
          </w:tcPr>
          <w:p w14:paraId="0B398CA3"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0.0054</w:t>
            </w:r>
          </w:p>
        </w:tc>
        <w:tc>
          <w:tcPr>
            <w:tcW w:w="300" w:type="dxa"/>
            <w:tcBorders>
              <w:top w:val="nil"/>
              <w:left w:val="nil"/>
              <w:bottom w:val="nil"/>
              <w:right w:val="nil"/>
            </w:tcBorders>
            <w:shd w:val="clear" w:color="auto" w:fill="auto"/>
            <w:noWrap/>
            <w:vAlign w:val="bottom"/>
            <w:hideMark/>
          </w:tcPr>
          <w:p w14:paraId="39D501C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4A23AD2C"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40D75B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Hordeum brachyantherum</w:t>
            </w:r>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0.0159</w:t>
            </w:r>
          </w:p>
        </w:tc>
        <w:tc>
          <w:tcPr>
            <w:tcW w:w="300" w:type="dxa"/>
            <w:tcBorders>
              <w:top w:val="nil"/>
              <w:left w:val="nil"/>
              <w:bottom w:val="single" w:sz="8" w:space="0" w:color="auto"/>
              <w:right w:val="nil"/>
            </w:tcBorders>
            <w:shd w:val="clear" w:color="auto" w:fill="auto"/>
            <w:noWrap/>
            <w:vAlign w:val="bottom"/>
            <w:hideMark/>
          </w:tcPr>
          <w:p w14:paraId="3A9976B9"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C6C6F66"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91" w:type="dxa"/>
            <w:tcBorders>
              <w:top w:val="nil"/>
              <w:left w:val="nil"/>
              <w:bottom w:val="single" w:sz="8" w:space="0" w:color="auto"/>
              <w:right w:val="nil"/>
            </w:tcBorders>
            <w:shd w:val="clear" w:color="auto" w:fill="auto"/>
            <w:noWrap/>
            <w:vAlign w:val="bottom"/>
            <w:hideMark/>
          </w:tcPr>
          <w:p w14:paraId="56FA6DE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605611B3"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0F1EC5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0088805B" w14:textId="77777777" w:rsidTr="00973A9E">
        <w:trPr>
          <w:trHeight w:val="270"/>
        </w:trPr>
        <w:tc>
          <w:tcPr>
            <w:tcW w:w="1080" w:type="dxa"/>
            <w:tcBorders>
              <w:top w:val="nil"/>
              <w:left w:val="nil"/>
              <w:bottom w:val="nil"/>
              <w:right w:val="nil"/>
            </w:tcBorders>
            <w:shd w:val="clear" w:color="auto" w:fill="auto"/>
            <w:vAlign w:val="bottom"/>
            <w:hideMark/>
          </w:tcPr>
          <w:p w14:paraId="55B74F0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77777777" w:rsidR="00973A9E" w:rsidRPr="00973A9E" w:rsidRDefault="00973A9E" w:rsidP="00973A9E">
            <w:pPr>
              <w:spacing w:after="0" w:line="240" w:lineRule="auto"/>
              <w:rPr>
                <w:rFonts w:ascii="Times New Roman" w:eastAsia="Times New Roman" w:hAnsi="Times New Roman" w:cs="Times New Roman"/>
                <w:sz w:val="20"/>
                <w:szCs w:val="20"/>
              </w:rPr>
            </w:pPr>
          </w:p>
        </w:tc>
      </w:tr>
      <w:tr w:rsidR="00973A9E" w:rsidRPr="00973A9E" w14:paraId="79D688CB" w14:textId="77777777" w:rsidTr="00973A9E">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"Bogbean"</w:t>
            </w:r>
          </w:p>
        </w:tc>
        <w:tc>
          <w:tcPr>
            <w:tcW w:w="2959" w:type="dxa"/>
            <w:tcBorders>
              <w:top w:val="single" w:sz="8" w:space="0" w:color="auto"/>
              <w:left w:val="nil"/>
              <w:bottom w:val="nil"/>
              <w:right w:val="nil"/>
            </w:tcBorders>
            <w:shd w:val="clear" w:color="auto" w:fill="auto"/>
            <w:noWrap/>
            <w:vAlign w:val="bottom"/>
            <w:hideMark/>
          </w:tcPr>
          <w:p w14:paraId="0DB01C9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81" w:type="dxa"/>
            <w:tcBorders>
              <w:top w:val="single" w:sz="8" w:space="0" w:color="auto"/>
              <w:left w:val="nil"/>
              <w:bottom w:val="nil"/>
              <w:right w:val="nil"/>
            </w:tcBorders>
            <w:shd w:val="clear" w:color="auto" w:fill="auto"/>
            <w:noWrap/>
            <w:vAlign w:val="bottom"/>
            <w:hideMark/>
          </w:tcPr>
          <w:p w14:paraId="3846A35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08F42851"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9BB6AF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Mentha aquatica</w:t>
            </w:r>
          </w:p>
        </w:tc>
        <w:tc>
          <w:tcPr>
            <w:tcW w:w="691" w:type="dxa"/>
            <w:tcBorders>
              <w:top w:val="single" w:sz="8" w:space="0" w:color="auto"/>
              <w:left w:val="nil"/>
              <w:bottom w:val="nil"/>
              <w:right w:val="nil"/>
            </w:tcBorders>
            <w:shd w:val="clear" w:color="auto" w:fill="auto"/>
            <w:noWrap/>
            <w:vAlign w:val="bottom"/>
            <w:hideMark/>
          </w:tcPr>
          <w:p w14:paraId="460360C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single" w:sz="8" w:space="0" w:color="auto"/>
              <w:left w:val="nil"/>
              <w:bottom w:val="nil"/>
              <w:right w:val="nil"/>
            </w:tcBorders>
            <w:shd w:val="clear" w:color="auto" w:fill="auto"/>
            <w:noWrap/>
            <w:vAlign w:val="bottom"/>
            <w:hideMark/>
          </w:tcPr>
          <w:p w14:paraId="0AA433A5"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585DFEC2"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9D2A87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64AD5AC"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Myosotis scorpiodes</w:t>
            </w:r>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0.0005</w:t>
            </w:r>
          </w:p>
        </w:tc>
        <w:tc>
          <w:tcPr>
            <w:tcW w:w="300" w:type="dxa"/>
            <w:tcBorders>
              <w:top w:val="nil"/>
              <w:left w:val="nil"/>
              <w:bottom w:val="nil"/>
              <w:right w:val="nil"/>
            </w:tcBorders>
            <w:shd w:val="clear" w:color="auto" w:fill="auto"/>
            <w:noWrap/>
            <w:vAlign w:val="bottom"/>
            <w:hideMark/>
          </w:tcPr>
          <w:p w14:paraId="18EA3FF2"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Menyanthes trifoliata</w:t>
            </w:r>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c>
          <w:tcPr>
            <w:tcW w:w="300" w:type="dxa"/>
            <w:tcBorders>
              <w:top w:val="nil"/>
              <w:left w:val="nil"/>
              <w:bottom w:val="nil"/>
              <w:right w:val="nil"/>
            </w:tcBorders>
            <w:shd w:val="clear" w:color="auto" w:fill="auto"/>
            <w:noWrap/>
            <w:vAlign w:val="bottom"/>
            <w:hideMark/>
          </w:tcPr>
          <w:p w14:paraId="1B1EFECA"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Mentha aquatica</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75D5883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1964356"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Bidens cernua</w:t>
            </w:r>
          </w:p>
        </w:tc>
        <w:tc>
          <w:tcPr>
            <w:tcW w:w="681" w:type="dxa"/>
            <w:tcBorders>
              <w:top w:val="nil"/>
              <w:left w:val="nil"/>
              <w:bottom w:val="nil"/>
              <w:right w:val="nil"/>
            </w:tcBorders>
            <w:shd w:val="clear" w:color="auto" w:fill="auto"/>
            <w:noWrap/>
            <w:vAlign w:val="bottom"/>
            <w:hideMark/>
          </w:tcPr>
          <w:p w14:paraId="0FE0C73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3D46C46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77777777" w:rsidR="00973A9E" w:rsidRPr="00973A9E" w:rsidRDefault="00973A9E" w:rsidP="00973A9E">
            <w:pPr>
              <w:spacing w:after="0" w:line="240" w:lineRule="auto"/>
              <w:rPr>
                <w:rFonts w:ascii="Calibri" w:eastAsia="Times New Roman" w:hAnsi="Calibri" w:cs="Calibri"/>
                <w:sz w:val="20"/>
                <w:szCs w:val="20"/>
              </w:rPr>
            </w:pPr>
            <w:r w:rsidRPr="00973A9E">
              <w:rPr>
                <w:rFonts w:ascii="Calibri" w:eastAsia="Times New Roman" w:hAnsi="Calibri" w:cs="Calibri"/>
                <w:sz w:val="20"/>
                <w:szCs w:val="20"/>
              </w:rPr>
              <w:t>Grass (unidentified)</w:t>
            </w:r>
          </w:p>
        </w:tc>
        <w:tc>
          <w:tcPr>
            <w:tcW w:w="691" w:type="dxa"/>
            <w:tcBorders>
              <w:top w:val="nil"/>
              <w:left w:val="nil"/>
              <w:bottom w:val="nil"/>
              <w:right w:val="nil"/>
            </w:tcBorders>
            <w:shd w:val="clear" w:color="auto" w:fill="auto"/>
            <w:noWrap/>
            <w:vAlign w:val="bottom"/>
            <w:hideMark/>
          </w:tcPr>
          <w:p w14:paraId="5A0DC0E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0.0007</w:t>
            </w:r>
          </w:p>
        </w:tc>
        <w:tc>
          <w:tcPr>
            <w:tcW w:w="300" w:type="dxa"/>
            <w:tcBorders>
              <w:top w:val="nil"/>
              <w:left w:val="nil"/>
              <w:bottom w:val="nil"/>
              <w:right w:val="nil"/>
            </w:tcBorders>
            <w:shd w:val="clear" w:color="auto" w:fill="auto"/>
            <w:noWrap/>
            <w:vAlign w:val="bottom"/>
            <w:hideMark/>
          </w:tcPr>
          <w:p w14:paraId="5CADED0D"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Lysimachia thyrsiflora</w:t>
            </w:r>
          </w:p>
        </w:tc>
        <w:tc>
          <w:tcPr>
            <w:tcW w:w="693" w:type="dxa"/>
            <w:tcBorders>
              <w:top w:val="nil"/>
              <w:left w:val="nil"/>
              <w:bottom w:val="nil"/>
              <w:right w:val="single" w:sz="8" w:space="0" w:color="auto"/>
            </w:tcBorders>
            <w:shd w:val="clear" w:color="auto" w:fill="auto"/>
            <w:noWrap/>
            <w:vAlign w:val="bottom"/>
            <w:hideMark/>
          </w:tcPr>
          <w:p w14:paraId="254C293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0.0001</w:t>
            </w:r>
          </w:p>
        </w:tc>
      </w:tr>
      <w:tr w:rsidR="00973A9E" w:rsidRPr="00973A9E" w14:paraId="401A63E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BD81F32"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Lythrum salicaria</w:t>
            </w:r>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0.0040</w:t>
            </w:r>
          </w:p>
        </w:tc>
        <w:tc>
          <w:tcPr>
            <w:tcW w:w="300" w:type="dxa"/>
            <w:tcBorders>
              <w:top w:val="nil"/>
              <w:left w:val="nil"/>
              <w:bottom w:val="nil"/>
              <w:right w:val="nil"/>
            </w:tcBorders>
            <w:shd w:val="clear" w:color="auto" w:fill="auto"/>
            <w:noWrap/>
            <w:vAlign w:val="bottom"/>
            <w:hideMark/>
          </w:tcPr>
          <w:p w14:paraId="32EFFDC5"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Lythrum salicaria</w:t>
            </w:r>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0.0008</w:t>
            </w:r>
          </w:p>
        </w:tc>
        <w:tc>
          <w:tcPr>
            <w:tcW w:w="300" w:type="dxa"/>
            <w:tcBorders>
              <w:top w:val="nil"/>
              <w:left w:val="nil"/>
              <w:bottom w:val="nil"/>
              <w:right w:val="nil"/>
            </w:tcBorders>
            <w:shd w:val="clear" w:color="auto" w:fill="auto"/>
            <w:noWrap/>
            <w:vAlign w:val="bottom"/>
            <w:hideMark/>
          </w:tcPr>
          <w:p w14:paraId="5C4E9BF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0.0004</w:t>
            </w:r>
          </w:p>
        </w:tc>
      </w:tr>
      <w:tr w:rsidR="00973A9E" w:rsidRPr="00973A9E" w14:paraId="7A37A627"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F77EB23"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81" w:type="dxa"/>
            <w:tcBorders>
              <w:top w:val="nil"/>
              <w:left w:val="nil"/>
              <w:bottom w:val="nil"/>
              <w:right w:val="nil"/>
            </w:tcBorders>
            <w:shd w:val="clear" w:color="auto" w:fill="auto"/>
            <w:noWrap/>
            <w:vAlign w:val="bottom"/>
            <w:hideMark/>
          </w:tcPr>
          <w:p w14:paraId="64B45FB1"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0.0112</w:t>
            </w:r>
          </w:p>
        </w:tc>
        <w:tc>
          <w:tcPr>
            <w:tcW w:w="300" w:type="dxa"/>
            <w:tcBorders>
              <w:top w:val="nil"/>
              <w:left w:val="nil"/>
              <w:bottom w:val="nil"/>
              <w:right w:val="nil"/>
            </w:tcBorders>
            <w:shd w:val="clear" w:color="auto" w:fill="auto"/>
            <w:noWrap/>
            <w:vAlign w:val="bottom"/>
            <w:hideMark/>
          </w:tcPr>
          <w:p w14:paraId="76C805FA"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Juncus articulatus</w:t>
            </w:r>
          </w:p>
        </w:tc>
        <w:tc>
          <w:tcPr>
            <w:tcW w:w="691" w:type="dxa"/>
            <w:tcBorders>
              <w:top w:val="nil"/>
              <w:left w:val="nil"/>
              <w:bottom w:val="nil"/>
              <w:right w:val="nil"/>
            </w:tcBorders>
            <w:shd w:val="clear" w:color="auto" w:fill="auto"/>
            <w:noWrap/>
            <w:vAlign w:val="bottom"/>
            <w:hideMark/>
          </w:tcPr>
          <w:p w14:paraId="2539CF6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0.0003</w:t>
            </w:r>
          </w:p>
        </w:tc>
        <w:tc>
          <w:tcPr>
            <w:tcW w:w="300" w:type="dxa"/>
            <w:tcBorders>
              <w:top w:val="nil"/>
              <w:left w:val="nil"/>
              <w:bottom w:val="nil"/>
              <w:right w:val="nil"/>
            </w:tcBorders>
            <w:shd w:val="clear" w:color="auto" w:fill="auto"/>
            <w:noWrap/>
            <w:vAlign w:val="bottom"/>
            <w:hideMark/>
          </w:tcPr>
          <w:p w14:paraId="35D55989"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Myosotis scorpioides</w:t>
            </w:r>
          </w:p>
        </w:tc>
        <w:tc>
          <w:tcPr>
            <w:tcW w:w="693" w:type="dxa"/>
            <w:tcBorders>
              <w:top w:val="nil"/>
              <w:left w:val="nil"/>
              <w:bottom w:val="nil"/>
              <w:right w:val="single" w:sz="8" w:space="0" w:color="auto"/>
            </w:tcBorders>
            <w:shd w:val="clear" w:color="auto" w:fill="auto"/>
            <w:noWrap/>
            <w:vAlign w:val="bottom"/>
            <w:hideMark/>
          </w:tcPr>
          <w:p w14:paraId="1901EEE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0.0062</w:t>
            </w:r>
          </w:p>
        </w:tc>
      </w:tr>
      <w:tr w:rsidR="00973A9E" w:rsidRPr="00973A9E" w14:paraId="6B057F51"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3EE1EE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Lysimachia thyrsiflora</w:t>
            </w:r>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0.0104</w:t>
            </w:r>
          </w:p>
        </w:tc>
        <w:tc>
          <w:tcPr>
            <w:tcW w:w="300" w:type="dxa"/>
            <w:tcBorders>
              <w:top w:val="nil"/>
              <w:left w:val="nil"/>
              <w:bottom w:val="nil"/>
              <w:right w:val="nil"/>
            </w:tcBorders>
            <w:shd w:val="clear" w:color="auto" w:fill="auto"/>
            <w:noWrap/>
            <w:vAlign w:val="bottom"/>
            <w:hideMark/>
          </w:tcPr>
          <w:p w14:paraId="7092491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Equisetum fluviatile</w:t>
            </w:r>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0.0010</w:t>
            </w:r>
          </w:p>
        </w:tc>
        <w:tc>
          <w:tcPr>
            <w:tcW w:w="300" w:type="dxa"/>
            <w:tcBorders>
              <w:top w:val="nil"/>
              <w:left w:val="nil"/>
              <w:bottom w:val="nil"/>
              <w:right w:val="nil"/>
            </w:tcBorders>
            <w:shd w:val="clear" w:color="auto" w:fill="auto"/>
            <w:noWrap/>
            <w:vAlign w:val="bottom"/>
            <w:hideMark/>
          </w:tcPr>
          <w:p w14:paraId="24E82AFC"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Juncus articulatus</w:t>
            </w:r>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0.0128</w:t>
            </w:r>
          </w:p>
        </w:tc>
      </w:tr>
      <w:tr w:rsidR="00973A9E" w:rsidRPr="00973A9E" w14:paraId="048DF9A9"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CF23CAA"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77777777" w:rsidR="00973A9E" w:rsidRPr="00973A9E" w:rsidRDefault="00973A9E" w:rsidP="00973A9E">
            <w:pPr>
              <w:spacing w:after="0" w:line="240" w:lineRule="auto"/>
              <w:rPr>
                <w:rFonts w:ascii="Calibri" w:eastAsia="Times New Roman" w:hAnsi="Calibri" w:cs="Calibri"/>
                <w:i/>
                <w:iCs/>
                <w:color w:val="000000"/>
                <w:sz w:val="20"/>
                <w:szCs w:val="20"/>
              </w:rPr>
            </w:pPr>
            <w:r w:rsidRPr="00973A9E">
              <w:rPr>
                <w:rFonts w:ascii="Calibri" w:eastAsia="Times New Roman" w:hAnsi="Calibri" w:cs="Calibri"/>
                <w:i/>
                <w:iCs/>
                <w:color w:val="000000"/>
                <w:sz w:val="20"/>
                <w:szCs w:val="20"/>
              </w:rPr>
              <w:t>Myosotis scorpioides</w:t>
            </w:r>
          </w:p>
        </w:tc>
        <w:tc>
          <w:tcPr>
            <w:tcW w:w="691" w:type="dxa"/>
            <w:tcBorders>
              <w:top w:val="nil"/>
              <w:left w:val="nil"/>
              <w:bottom w:val="nil"/>
              <w:right w:val="nil"/>
            </w:tcBorders>
            <w:shd w:val="clear" w:color="auto" w:fill="auto"/>
            <w:noWrap/>
            <w:vAlign w:val="bottom"/>
            <w:hideMark/>
          </w:tcPr>
          <w:p w14:paraId="5814803C"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0.0033</w:t>
            </w:r>
          </w:p>
        </w:tc>
        <w:tc>
          <w:tcPr>
            <w:tcW w:w="300" w:type="dxa"/>
            <w:tcBorders>
              <w:top w:val="nil"/>
              <w:left w:val="nil"/>
              <w:bottom w:val="nil"/>
              <w:right w:val="nil"/>
            </w:tcBorders>
            <w:shd w:val="clear" w:color="auto" w:fill="auto"/>
            <w:noWrap/>
            <w:vAlign w:val="bottom"/>
            <w:hideMark/>
          </w:tcPr>
          <w:p w14:paraId="25886F3E"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1016AA8A"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5AF710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Eleocharis palustris</w:t>
            </w:r>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0.0215</w:t>
            </w:r>
          </w:p>
        </w:tc>
        <w:tc>
          <w:tcPr>
            <w:tcW w:w="300" w:type="dxa"/>
            <w:tcBorders>
              <w:top w:val="nil"/>
              <w:left w:val="nil"/>
              <w:bottom w:val="nil"/>
              <w:right w:val="nil"/>
            </w:tcBorders>
            <w:shd w:val="clear" w:color="auto" w:fill="auto"/>
            <w:noWrap/>
            <w:vAlign w:val="bottom"/>
            <w:hideMark/>
          </w:tcPr>
          <w:p w14:paraId="64FBE484"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3FF08276" w14:textId="77777777" w:rsidTr="00973A9E">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0991C91"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77777777" w:rsidR="00973A9E" w:rsidRPr="00973A9E" w:rsidRDefault="00973A9E" w:rsidP="00973A9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Equisetum variegatum</w:t>
            </w:r>
          </w:p>
        </w:tc>
        <w:tc>
          <w:tcPr>
            <w:tcW w:w="691" w:type="dxa"/>
            <w:tcBorders>
              <w:top w:val="nil"/>
              <w:left w:val="nil"/>
              <w:bottom w:val="single" w:sz="4" w:space="0" w:color="auto"/>
              <w:right w:val="nil"/>
            </w:tcBorders>
            <w:shd w:val="clear" w:color="auto" w:fill="auto"/>
            <w:noWrap/>
            <w:vAlign w:val="bottom"/>
            <w:hideMark/>
          </w:tcPr>
          <w:p w14:paraId="2BC3EB39"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0.0485</w:t>
            </w:r>
          </w:p>
        </w:tc>
        <w:tc>
          <w:tcPr>
            <w:tcW w:w="300" w:type="dxa"/>
            <w:tcBorders>
              <w:top w:val="nil"/>
              <w:left w:val="nil"/>
              <w:bottom w:val="nil"/>
              <w:right w:val="nil"/>
            </w:tcBorders>
            <w:shd w:val="clear" w:color="auto" w:fill="auto"/>
            <w:noWrap/>
            <w:vAlign w:val="bottom"/>
            <w:hideMark/>
          </w:tcPr>
          <w:p w14:paraId="1623BF81" w14:textId="77777777" w:rsidR="00973A9E" w:rsidRPr="00973A9E" w:rsidRDefault="00973A9E" w:rsidP="00973A9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77777777" w:rsidR="00973A9E" w:rsidRPr="00973A9E" w:rsidRDefault="00973A9E" w:rsidP="00973A9E">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r w:rsidR="00973A9E" w:rsidRPr="00973A9E" w14:paraId="372C37E8" w14:textId="77777777" w:rsidTr="00973A9E">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08C9BA05" w14:textId="77777777" w:rsidR="00973A9E" w:rsidRPr="00973A9E" w:rsidRDefault="00973A9E" w:rsidP="00973A9E">
            <w:pPr>
              <w:spacing w:after="0" w:line="240" w:lineRule="auto"/>
              <w:rPr>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81" w:type="dxa"/>
            <w:tcBorders>
              <w:top w:val="nil"/>
              <w:left w:val="nil"/>
              <w:bottom w:val="single" w:sz="8" w:space="0" w:color="auto"/>
              <w:right w:val="nil"/>
            </w:tcBorders>
            <w:shd w:val="clear" w:color="auto" w:fill="auto"/>
            <w:noWrap/>
            <w:vAlign w:val="bottom"/>
            <w:hideMark/>
          </w:tcPr>
          <w:p w14:paraId="072112A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1AD6199E"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22A180AA" w14:textId="77777777" w:rsidR="00973A9E" w:rsidRPr="00973A9E" w:rsidRDefault="00973A9E" w:rsidP="00973A9E">
            <w:pPr>
              <w:spacing w:after="0" w:line="240" w:lineRule="auto"/>
              <w:rPr>
                <w:rFonts w:ascii="Calibri" w:eastAsia="Times New Roman" w:hAnsi="Calibri" w:cs="Calibri"/>
                <w:i/>
                <w:iCs/>
                <w:sz w:val="20"/>
                <w:szCs w:val="20"/>
              </w:rPr>
            </w:pPr>
            <w:r w:rsidRPr="00973A9E">
              <w:rPr>
                <w:rFonts w:ascii="Calibri" w:eastAsia="Times New Roman" w:hAnsi="Calibri" w:cs="Calibri"/>
                <w:i/>
                <w:iCs/>
                <w:sz w:val="20"/>
                <w:szCs w:val="20"/>
              </w:rPr>
              <w:t>Deschampsia caespitosa</w:t>
            </w:r>
          </w:p>
        </w:tc>
        <w:tc>
          <w:tcPr>
            <w:tcW w:w="691" w:type="dxa"/>
            <w:tcBorders>
              <w:top w:val="nil"/>
              <w:left w:val="nil"/>
              <w:bottom w:val="single" w:sz="8" w:space="0" w:color="auto"/>
              <w:right w:val="nil"/>
            </w:tcBorders>
            <w:shd w:val="clear" w:color="auto" w:fill="auto"/>
            <w:noWrap/>
            <w:vAlign w:val="bottom"/>
            <w:hideMark/>
          </w:tcPr>
          <w:p w14:paraId="28D1D16D"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0.0292</w:t>
            </w:r>
          </w:p>
        </w:tc>
        <w:tc>
          <w:tcPr>
            <w:tcW w:w="300" w:type="dxa"/>
            <w:tcBorders>
              <w:top w:val="nil"/>
              <w:left w:val="nil"/>
              <w:bottom w:val="single" w:sz="8" w:space="0" w:color="auto"/>
              <w:right w:val="nil"/>
            </w:tcBorders>
            <w:shd w:val="clear" w:color="auto" w:fill="auto"/>
            <w:noWrap/>
            <w:vAlign w:val="bottom"/>
            <w:hideMark/>
          </w:tcPr>
          <w:p w14:paraId="145C0A02"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29F8A62D" w14:textId="77777777" w:rsidR="00973A9E" w:rsidRPr="00973A9E" w:rsidRDefault="00973A9E" w:rsidP="00973A9E">
            <w:pPr>
              <w:spacing w:after="0" w:line="240" w:lineRule="auto"/>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77777777" w:rsidR="00973A9E" w:rsidRPr="00973A9E" w:rsidRDefault="00973A9E" w:rsidP="00973A9E">
            <w:pPr>
              <w:spacing w:after="0" w:line="240" w:lineRule="auto"/>
              <w:jc w:val="center"/>
              <w:rPr>
                <w:rFonts w:ascii="Calibri" w:eastAsia="Times New Roman" w:hAnsi="Calibri" w:cs="Calibri"/>
                <w:color w:val="000000"/>
                <w:sz w:val="20"/>
                <w:szCs w:val="20"/>
              </w:rPr>
            </w:pPr>
            <w:r w:rsidRPr="00973A9E">
              <w:rPr>
                <w:rFonts w:ascii="Calibri" w:eastAsia="Times New Roman" w:hAnsi="Calibri" w:cs="Calibri"/>
                <w:color w:val="000000"/>
                <w:sz w:val="20"/>
                <w:szCs w:val="20"/>
              </w:rPr>
              <w:t> </w:t>
            </w:r>
          </w:p>
        </w:tc>
      </w:tr>
    </w:tbl>
    <w:p w14:paraId="6DD777E0" w14:textId="56AFE521" w:rsidR="00AD4549" w:rsidRDefault="00AD4549" w:rsidP="00AD4549"/>
    <w:p w14:paraId="69F2EA2C" w14:textId="6927A35E" w:rsidR="00AD4549" w:rsidRDefault="00AD4549" w:rsidP="00AD4549"/>
    <w:p w14:paraId="5C70E60F" w14:textId="77777777" w:rsidR="00AD4549" w:rsidRDefault="00AD4549" w:rsidP="00AD4549">
      <w:pPr>
        <w:sectPr w:rsidR="00AD4549"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28B95618">
            <wp:extent cx="5186627" cy="6915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86627" cy="6915502"/>
                    </a:xfrm>
                    <a:prstGeom prst="rect">
                      <a:avLst/>
                    </a:prstGeom>
                    <a:noFill/>
                    <a:ln>
                      <a:noFill/>
                    </a:ln>
                  </pic:spPr>
                </pic:pic>
              </a:graphicData>
            </a:graphic>
          </wp:inline>
        </w:drawing>
      </w:r>
    </w:p>
    <w:p w14:paraId="41572129" w14:textId="40D88351" w:rsidR="0089145E" w:rsidRDefault="001646E3" w:rsidP="007D52A9">
      <w:pPr>
        <w:pStyle w:val="Caption"/>
      </w:pPr>
      <w:bookmarkStart w:id="10" w:name="_Ref103862754"/>
      <w:r>
        <w:t xml:space="preserve">Figure </w:t>
      </w:r>
      <w:r w:rsidR="00483733">
        <w:fldChar w:fldCharType="begin"/>
      </w:r>
      <w:r w:rsidR="00483733">
        <w:instrText xml:space="preserve"> SEQ Figure \* ARABIC </w:instrText>
      </w:r>
      <w:r w:rsidR="00483733">
        <w:fldChar w:fldCharType="separate"/>
      </w:r>
      <w:r w:rsidR="00615FBC">
        <w:rPr>
          <w:noProof/>
        </w:rPr>
        <w:t>3</w:t>
      </w:r>
      <w:r w:rsidR="00483733">
        <w:rPr>
          <w:noProof/>
        </w:rPr>
        <w:fldChar w:fldCharType="end"/>
      </w:r>
      <w:bookmarkEnd w:id="10"/>
      <w:r>
        <w:t xml:space="preserve">. </w:t>
      </w:r>
      <w:r w:rsidR="00F03A3F">
        <w:t>Changes in m</w:t>
      </w:r>
      <w:r w:rsidR="00014D08">
        <w:t xml:space="preserve">ean cover abundance of indicator species </w:t>
      </w:r>
      <w:r w:rsidR="00614FDC">
        <w:t xml:space="preserve">most </w:t>
      </w:r>
      <w:r w:rsidR="00014D08">
        <w:t xml:space="preserve">significantly driving assemblage </w:t>
      </w:r>
      <w:r w:rsidR="00192CAF">
        <w:t>associations over time</w:t>
      </w:r>
      <w:r w:rsidR="00351298">
        <w:t xml:space="preserve">; blue-listed species </w:t>
      </w:r>
      <w:r w:rsidR="00351298">
        <w:rPr>
          <w:i w:val="0"/>
        </w:rPr>
        <w:t>Sidalcea hendersonii</w:t>
      </w:r>
      <w:r w:rsidR="00351298">
        <w:t xml:space="preserve"> included for special status interest</w:t>
      </w:r>
      <w:r w:rsidR="00192CAF">
        <w:t xml:space="preserve">. </w:t>
      </w:r>
      <w:r w:rsidR="00513926">
        <w:t>Species names followed by (*)</w:t>
      </w:r>
      <w:r w:rsidR="001F1D23">
        <w:t xml:space="preserve"> </w:t>
      </w:r>
      <w:r w:rsidR="007079F9">
        <w:t>are</w:t>
      </w:r>
      <w:r w:rsidR="004F1DD3">
        <w:t xml:space="preserve"> exotic</w:t>
      </w:r>
      <w:r w:rsidR="007079F9">
        <w:t xml:space="preserve"> introductions from</w:t>
      </w:r>
      <w:r w:rsidR="001F1D23">
        <w:t xml:space="preserve"> Eurasia</w:t>
      </w:r>
      <w:r w:rsidR="00513926">
        <w:t xml:space="preserve">. </w:t>
      </w:r>
      <w:r w:rsidR="00192CAF">
        <w:t>Notably, each of the assemblage-defining species (</w:t>
      </w:r>
      <w:r w:rsidR="00192CAF" w:rsidRPr="00DC704D">
        <w:rPr>
          <w:i w:val="0"/>
        </w:rPr>
        <w:t>C. lyngbyei, F. arundinaceae, and M. trifoliata</w:t>
      </w:r>
      <w:r w:rsidR="00192CAF">
        <w:t xml:space="preserve">) </w:t>
      </w:r>
      <w:r w:rsidR="00933E4A">
        <w:t>decrease in mean abundance in 201</w:t>
      </w:r>
      <w:r w:rsidR="005F174E">
        <w:t>9</w:t>
      </w:r>
      <w:r w:rsidR="00933E4A">
        <w:t xml:space="preserve">. </w:t>
      </w:r>
      <w:r w:rsidR="00F8031D">
        <w:t>By 2019, i</w:t>
      </w:r>
      <w:r w:rsidR="00933E4A">
        <w:t xml:space="preserve">nvasive species </w:t>
      </w:r>
      <w:r w:rsidR="00933E4A" w:rsidRPr="00DC704D">
        <w:rPr>
          <w:i w:val="0"/>
        </w:rPr>
        <w:t>P. arundinaceae</w:t>
      </w:r>
      <w:r w:rsidR="00933E4A">
        <w:t xml:space="preserve"> more than triples its </w:t>
      </w:r>
      <w:r w:rsidR="00F8031D">
        <w:t xml:space="preserve">abundance in the Fescue assemblage. </w:t>
      </w:r>
      <w:r w:rsidR="00192CAF">
        <w:t xml:space="preserve"> </w:t>
      </w:r>
      <w:bookmarkStart w:id="11" w:name="_Ref103083520"/>
      <w:r w:rsidR="0089145E">
        <w:br w:type="page"/>
      </w:r>
    </w:p>
    <w:p w14:paraId="728AB9E1" w14:textId="67E92FF0" w:rsidR="00023622" w:rsidRPr="0022148A" w:rsidRDefault="00023622" w:rsidP="00023622">
      <w:pPr>
        <w:pStyle w:val="Caption"/>
        <w:rPr>
          <w:i w:val="0"/>
          <w:iCs w:val="0"/>
          <w:color w:val="auto"/>
          <w:sz w:val="22"/>
          <w:szCs w:val="22"/>
        </w:rPr>
      </w:pPr>
      <w:bookmarkStart w:id="12" w:name="_Ref104813833"/>
      <w:bookmarkStart w:id="13" w:name="_Hlk106053533"/>
      <w:bookmarkEnd w:id="11"/>
      <w:r>
        <w:lastRenderedPageBreak/>
        <w:t xml:space="preserve">Table </w:t>
      </w:r>
      <w:r w:rsidR="00483733">
        <w:fldChar w:fldCharType="begin"/>
      </w:r>
      <w:r w:rsidR="00483733">
        <w:instrText xml:space="preserve"> SEQ Table \* A</w:instrText>
      </w:r>
      <w:r w:rsidR="00483733">
        <w:instrText xml:space="preserve">RABIC </w:instrText>
      </w:r>
      <w:r w:rsidR="00483733">
        <w:fldChar w:fldCharType="separate"/>
      </w:r>
      <w:r w:rsidR="00615FBC">
        <w:rPr>
          <w:noProof/>
        </w:rPr>
        <w:t>2</w:t>
      </w:r>
      <w:r w:rsidR="00483733">
        <w:rPr>
          <w:noProof/>
        </w:rPr>
        <w:fldChar w:fldCharType="end"/>
      </w:r>
      <w:bookmarkEnd w:id="12"/>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sidR="00F7211B">
        <w:rPr>
          <w:rFonts w:ascii="Calibri" w:eastAsia="Calibri" w:hAnsi="Calibri" w:cs="Calibri"/>
          <w:iCs w:val="0"/>
          <w:color w:val="44546A"/>
        </w:rPr>
        <w:t xml:space="preserve"> Plot loss did not appear to have an effect on diversity components, as tested by bootstrapping a minimum of 1</w:t>
      </w:r>
      <w:r w:rsidR="006E0F29">
        <w:rPr>
          <w:rFonts w:ascii="Calibri" w:eastAsia="Calibri" w:hAnsi="Calibri" w:cs="Calibri"/>
          <w:iCs w:val="0"/>
          <w:color w:val="44546A"/>
        </w:rPr>
        <w:t>8</w:t>
      </w:r>
      <w:r w:rsidR="00F7211B">
        <w:rPr>
          <w:rFonts w:ascii="Calibri" w:eastAsia="Calibri" w:hAnsi="Calibri" w:cs="Calibri"/>
          <w:iCs w:val="0"/>
          <w:color w:val="44546A"/>
        </w:rPr>
        <w:t xml:space="preserve"> plots per assemblage each year </w:t>
      </w:r>
      <w:r w:rsidR="00C858BE">
        <w:rPr>
          <w:rFonts w:ascii="Calibri" w:eastAsia="Calibri" w:hAnsi="Calibri" w:cs="Calibri"/>
          <w:iCs w:val="0"/>
          <w:color w:val="44546A"/>
        </w:rPr>
        <w:t>(</w:t>
      </w:r>
      <w:r w:rsidR="00C858BE">
        <w:t xml:space="preserve">Table </w:t>
      </w:r>
      <w:r w:rsidR="00C858BE">
        <w:rPr>
          <w:noProof/>
        </w:rPr>
        <w:t>5</w:t>
      </w:r>
      <w:r w:rsidR="00A55689">
        <w:rPr>
          <w:rFonts w:ascii="Calibri" w:eastAsia="Calibri" w:hAnsi="Calibri" w:cs="Calibri"/>
          <w:iCs w:val="0"/>
          <w:color w:val="44546A"/>
        </w:rPr>
        <w:t xml:space="preserve">). </w:t>
      </w:r>
      <w:r w:rsidR="00F7211B">
        <w:rPr>
          <w:rFonts w:ascii="Calibri" w:eastAsia="Calibri" w:hAnsi="Calibri" w:cs="Calibri"/>
          <w:iCs w:val="0"/>
          <w:color w:val="44546A"/>
        </w:rPr>
        <w:t xml:space="preserve"> </w:t>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rFonts w:ascii="Times New Roman" w:eastAsia="Times New Roman" w:hAnsi="Times New Roman" w:cs="Times New Roman"/>
                <w:sz w:val="24"/>
                <w:szCs w:val="24"/>
              </w:rPr>
            </w:pPr>
            <w:bookmarkStart w:id="14" w:name="_Hlk106053541"/>
            <w:bookmarkEnd w:id="13"/>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Diversity components</w:t>
            </w:r>
          </w:p>
        </w:tc>
      </w:tr>
      <w:tr w:rsidR="00023622" w:rsidRPr="00823843" w14:paraId="5E53E4F2" w14:textId="77777777" w:rsidTr="00446B55">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β diversity</w:t>
            </w:r>
          </w:p>
        </w:tc>
      </w:tr>
      <w:tr w:rsidR="00023622" w:rsidRPr="00823843" w14:paraId="77932D0E" w14:textId="77777777" w:rsidTr="00446B55">
        <w:trPr>
          <w:trHeight w:val="290"/>
          <w:jc w:val="center"/>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DCB4267"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8.74</w:t>
            </w:r>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2.45</w:t>
            </w:r>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3.89</w:t>
            </w:r>
          </w:p>
        </w:tc>
      </w:tr>
      <w:tr w:rsidR="00023622" w:rsidRPr="00823843" w14:paraId="5302ECBA"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8.26</w:t>
            </w:r>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1.98</w:t>
            </w:r>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4.24</w:t>
            </w:r>
          </w:p>
        </w:tc>
      </w:tr>
      <w:tr w:rsidR="00023622" w:rsidRPr="00823843" w14:paraId="000FDCC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7.89</w:t>
            </w:r>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2.69</w:t>
            </w:r>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4.31</w:t>
            </w:r>
          </w:p>
        </w:tc>
      </w:tr>
      <w:tr w:rsidR="00023622" w:rsidRPr="00823843" w14:paraId="4037084A"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66C32909"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06F14BB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12.83</w:t>
            </w:r>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3.87</w:t>
            </w:r>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3.66</w:t>
            </w:r>
          </w:p>
        </w:tc>
      </w:tr>
      <w:tr w:rsidR="00023622" w:rsidRPr="00823843" w14:paraId="3F01C35E"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9.69</w:t>
            </w:r>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3.96</w:t>
            </w:r>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4.23</w:t>
            </w:r>
          </w:p>
        </w:tc>
      </w:tr>
      <w:tr w:rsidR="00023622" w:rsidRPr="00823843" w14:paraId="0B1F5C66"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5.83</w:t>
            </w:r>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2.79</w:t>
            </w:r>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4.63</w:t>
            </w:r>
          </w:p>
        </w:tc>
      </w:tr>
      <w:tr w:rsidR="00023622" w:rsidRPr="00823843" w14:paraId="1A0F9A69"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2506D424"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4C7C70D"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12.84</w:t>
            </w:r>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3.61</w:t>
            </w:r>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2.49</w:t>
            </w:r>
          </w:p>
        </w:tc>
      </w:tr>
      <w:tr w:rsidR="00023622" w:rsidRPr="00823843" w14:paraId="4FDDA322"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11.50</w:t>
            </w:r>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2.92</w:t>
            </w:r>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3.13</w:t>
            </w:r>
          </w:p>
        </w:tc>
      </w:tr>
      <w:tr w:rsidR="00023622" w:rsidRPr="00823843" w14:paraId="788A119A"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10.46</w:t>
            </w:r>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1.90</w:t>
            </w:r>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3.25</w:t>
            </w:r>
          </w:p>
        </w:tc>
      </w:tr>
      <w:tr w:rsidR="00023622" w:rsidRPr="00823843" w14:paraId="1EBC75D3" w14:textId="77777777" w:rsidTr="00446B55">
        <w:trPr>
          <w:trHeight w:val="200"/>
          <w:jc w:val="center"/>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1D5ABD31"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rFonts w:ascii="Calibri" w:eastAsia="Times New Roman" w:hAnsi="Calibri" w:cs="Calibri"/>
                <w:b/>
                <w:bCs/>
                <w:color w:val="000000"/>
                <w:sz w:val="20"/>
                <w:szCs w:val="20"/>
              </w:rPr>
            </w:pPr>
            <w:r w:rsidRPr="00823843">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rFonts w:ascii="Times New Roman" w:eastAsia="Times New Roman" w:hAnsi="Times New Roman" w:cs="Times New Roman"/>
                <w:sz w:val="20"/>
                <w:szCs w:val="20"/>
              </w:rPr>
            </w:pPr>
          </w:p>
        </w:tc>
      </w:tr>
      <w:tr w:rsidR="00023622" w:rsidRPr="00823843" w14:paraId="30306640"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9.96</w:t>
            </w:r>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3.41</w:t>
            </w:r>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4.82</w:t>
            </w:r>
          </w:p>
        </w:tc>
      </w:tr>
      <w:tr w:rsidR="00023622" w:rsidRPr="00823843" w14:paraId="581F9D20" w14:textId="77777777" w:rsidTr="00446B55">
        <w:trPr>
          <w:trHeight w:val="290"/>
          <w:jc w:val="center"/>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9.55</w:t>
            </w:r>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3.30</w:t>
            </w:r>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4.71</w:t>
            </w:r>
          </w:p>
        </w:tc>
      </w:tr>
      <w:tr w:rsidR="00023622" w:rsidRPr="00823843" w14:paraId="379D4431" w14:textId="77777777" w:rsidTr="00446B55">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rFonts w:ascii="Calibri" w:eastAsia="Times New Roman" w:hAnsi="Calibri" w:cs="Calibri"/>
                <w:color w:val="000000"/>
                <w:sz w:val="20"/>
                <w:szCs w:val="20"/>
              </w:rPr>
            </w:pPr>
            <w:r w:rsidRPr="00823843">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43</w:t>
            </w:r>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8.36</w:t>
            </w:r>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3.03</w:t>
            </w:r>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rFonts w:ascii="Calibri" w:eastAsia="Times New Roman" w:hAnsi="Calibri" w:cs="Calibri"/>
                <w:color w:val="000000"/>
                <w:sz w:val="20"/>
                <w:szCs w:val="20"/>
              </w:rPr>
            </w:pPr>
            <w:r w:rsidRPr="00823843">
              <w:rPr>
                <w:rFonts w:ascii="Calibri" w:eastAsia="Times New Roman" w:hAnsi="Calibri" w:cs="Calibri"/>
                <w:color w:val="000000"/>
                <w:sz w:val="20"/>
                <w:szCs w:val="20"/>
              </w:rPr>
              <w:t>5.14</w:t>
            </w:r>
          </w:p>
        </w:tc>
      </w:tr>
      <w:bookmarkEnd w:id="14"/>
    </w:tbl>
    <w:p w14:paraId="0BF4DB13" w14:textId="3D8198F8" w:rsidR="00023622" w:rsidRDefault="00023622" w:rsidP="00D81CB7"/>
    <w:p w14:paraId="2D0619B0" w14:textId="77777777" w:rsidR="00436FFB" w:rsidRDefault="00436FFB">
      <w:pPr>
        <w:rPr>
          <w:rFonts w:asciiTheme="majorHAnsi" w:eastAsiaTheme="majorEastAsia" w:hAnsiTheme="majorHAnsi" w:cstheme="majorBidi"/>
          <w:color w:val="2F5496" w:themeColor="accent1" w:themeShade="BF"/>
          <w:sz w:val="32"/>
          <w:szCs w:val="32"/>
        </w:rPr>
      </w:pPr>
      <w:r>
        <w:br w:type="page"/>
      </w:r>
    </w:p>
    <w:p w14:paraId="29E24FE9" w14:textId="20105127" w:rsidR="00436FFB" w:rsidRDefault="00436FFB" w:rsidP="00436FFB">
      <w:pPr>
        <w:pStyle w:val="Heading1"/>
      </w:pPr>
      <w:r>
        <w:lastRenderedPageBreak/>
        <w:t xml:space="preserve">Discussion </w:t>
      </w:r>
    </w:p>
    <w:p w14:paraId="6A20729C" w14:textId="4273FB74" w:rsidR="00436FFB" w:rsidRDefault="00436FFB" w:rsidP="00FF6B76">
      <w:pPr>
        <w:ind w:firstLine="720"/>
      </w:pPr>
      <w:r>
        <w:t xml:space="preserve">We find there have been substantive changes in species composition over time, indicating that despite conservation status and broad resilience of </w:t>
      </w:r>
      <w:r w:rsidR="005429E8">
        <w:t>this</w:t>
      </w:r>
      <w:r>
        <w:t xml:space="preserve"> ecosystem, regional pressures are influencing considerable shifts in the species composition within this habitat. We found </w:t>
      </w:r>
      <w:r w:rsidR="00ED432F">
        <w:t>three</w:t>
      </w:r>
      <w:r w:rsidR="005429E8">
        <w:t xml:space="preserve"> species</w:t>
      </w:r>
      <w:r>
        <w:t xml:space="preserve"> </w:t>
      </w:r>
      <w:r w:rsidR="005429E8">
        <w:t xml:space="preserve">most significantly characterizing the </w:t>
      </w:r>
      <w:r>
        <w:t xml:space="preserve">three main plant assemblages, Sedge, Fescue and Bogbean, have </w:t>
      </w:r>
      <w:r w:rsidR="00762AB0">
        <w:t>remained the same</w:t>
      </w:r>
      <w:r>
        <w:t xml:space="preserve"> over the past 40 years, supporting our expectation that these characteristic species should not change in the absence of significant environmental disturbance. Overall, we observed a decline of native species richness, an increased richness and abundance of exotic species, leading to homogenization of cover abundance within assemblages, and greater dissimilarity between assemblages. These shifts in compositional trends are also reflected in the overall loss of secondary indicator species for the Sedge and Fescue assemblages. Our results present another compelling case example of broader global trends of species homogenization, and are of critical concern to local conservation objectives in the Fraser River Estuary for salmon, water birds, and shoreline stability. </w:t>
      </w:r>
    </w:p>
    <w:p w14:paraId="59FD480A" w14:textId="7B76FDAB" w:rsidR="006268EF" w:rsidRDefault="00436FFB" w:rsidP="006268EF">
      <w:pPr>
        <w:pStyle w:val="Heading2"/>
      </w:pPr>
      <w:r>
        <w:t>Predominant themes</w:t>
      </w:r>
      <w:r w:rsidRPr="00E9788B">
        <w:t xml:space="preserve"> </w:t>
      </w:r>
    </w:p>
    <w:p w14:paraId="590F17C9" w14:textId="2299EC1B" w:rsidR="006268EF" w:rsidRPr="006268EF" w:rsidRDefault="006268EF" w:rsidP="006268EF">
      <w:pPr>
        <w:pStyle w:val="Heading3"/>
      </w:pPr>
      <w:r>
        <w:t xml:space="preserve">Native species loss; increased exotic species </w:t>
      </w:r>
      <w:commentRangeStart w:id="15"/>
      <w:r>
        <w:t>richness</w:t>
      </w:r>
      <w:commentRangeEnd w:id="15"/>
      <w:r w:rsidR="004E55A1">
        <w:rPr>
          <w:rStyle w:val="CommentReference"/>
          <w:rFonts w:asciiTheme="minorHAnsi" w:eastAsiaTheme="minorHAnsi" w:hAnsiTheme="minorHAnsi" w:cstheme="minorBidi"/>
          <w:color w:val="auto"/>
        </w:rPr>
        <w:commentReference w:id="15"/>
      </w:r>
    </w:p>
    <w:p w14:paraId="3AFC13D8" w14:textId="1587B8A5" w:rsidR="00436FFB" w:rsidRDefault="00436FFB" w:rsidP="00642FB2">
      <w:pPr>
        <w:ind w:firstLine="360"/>
      </w:pPr>
      <w:r>
        <w:t>Overall, native species contributing to floristic diversity have been lost, both in terms of richness and cover abundance. The</w:t>
      </w:r>
      <w:r w:rsidR="00762AB0">
        <w:t xml:space="preserve"> biodiversity loss of </w:t>
      </w:r>
      <w:r>
        <w:t xml:space="preserve">native species richness </w:t>
      </w:r>
      <w:r w:rsidR="00CF381A">
        <w:t>may indicate</w:t>
      </w:r>
      <w:r>
        <w:t xml:space="preserve"> loss of functional redundancy (and thus resilience) within the assemblage, and the marsh community as a whole. This trend was observed as decreasing alpha diversity and increasing beta diversity, which indicated increasing rarity of secondary species within each assemblage</w:t>
      </w:r>
      <w:r w:rsidR="00CF381A">
        <w:t xml:space="preserve"> (Table </w:t>
      </w:r>
      <w:r w:rsidR="00CF381A">
        <w:rPr>
          <w:noProof/>
        </w:rPr>
        <w:t>2</w:t>
      </w:r>
      <w:r w:rsidR="00CF381A">
        <w:t>)</w:t>
      </w:r>
      <w:r>
        <w:t xml:space="preserve">. </w:t>
      </w:r>
    </w:p>
    <w:p w14:paraId="457AA5E2" w14:textId="61B71617" w:rsidR="00436FFB" w:rsidRDefault="00436FFB" w:rsidP="00642FB2">
      <w:pPr>
        <w:ind w:firstLine="360"/>
      </w:pPr>
      <w:r>
        <w:t>The greatest loss of native species richness occurred in the Fescue assemblage, while nominal gains in exotic richness were found in all assemblages</w:t>
      </w:r>
      <w:r w:rsidR="00CF381A">
        <w:t xml:space="preserve"> (Table </w:t>
      </w:r>
      <w:r w:rsidR="00CF381A">
        <w:rPr>
          <w:noProof/>
        </w:rPr>
        <w:t>7</w:t>
      </w:r>
      <w:r w:rsidR="00CF381A">
        <w:t xml:space="preserve">). </w:t>
      </w:r>
      <w:r>
        <w:t xml:space="preserve">The Fescue assemblage </w:t>
      </w:r>
      <w:r w:rsidR="00D50E98">
        <w:t>lost</w:t>
      </w:r>
      <w:r>
        <w:t xml:space="preserve"> </w:t>
      </w:r>
      <w:r w:rsidR="00F8601E">
        <w:t xml:space="preserve">a total </w:t>
      </w:r>
      <w:r>
        <w:t xml:space="preserve">of </w:t>
      </w:r>
      <w:r w:rsidR="00F8601E">
        <w:t>23</w:t>
      </w:r>
      <w:r>
        <w:t xml:space="preserve"> native species</w:t>
      </w:r>
      <w:r w:rsidR="00F8601E">
        <w:t xml:space="preserve"> (net loss of 18 native species)</w:t>
      </w:r>
      <w:r>
        <w:t xml:space="preserve"> between 1979 and 201</w:t>
      </w:r>
      <w:r w:rsidR="00CF381A">
        <w:t>9</w:t>
      </w:r>
      <w:r>
        <w:t>. Among the species lost from the assemblag</w:t>
      </w:r>
      <w:r w:rsidRPr="00F8601E">
        <w:t xml:space="preserve">e, </w:t>
      </w:r>
      <w:r w:rsidR="00F8601E" w:rsidRPr="00F8601E">
        <w:t>12</w:t>
      </w:r>
      <w:r w:rsidRPr="00F8601E">
        <w:t xml:space="preserve"> </w:t>
      </w:r>
      <w:r w:rsidR="00C4373A" w:rsidRPr="00F8601E">
        <w:t>we</w:t>
      </w:r>
      <w:r w:rsidR="00C4373A">
        <w:t>re lost from all three assemblages</w:t>
      </w:r>
      <w:r w:rsidR="0026723A">
        <w:t xml:space="preserve"> (six forbs, six graminoids)</w:t>
      </w:r>
      <w:r w:rsidR="00C4373A">
        <w:t xml:space="preserve">, or were never </w:t>
      </w:r>
      <w:r>
        <w:t>found in any other assemblage.</w:t>
      </w:r>
      <w:r w:rsidR="0026723A">
        <w:t xml:space="preserve"> Species </w:t>
      </w:r>
      <w:r w:rsidR="00380102">
        <w:t>gained include two woody species, and one each of forb, graminoid, and fern ally (</w:t>
      </w:r>
      <w:r w:rsidR="00380102">
        <w:rPr>
          <w:i/>
        </w:rPr>
        <w:t xml:space="preserve">Equisetum </w:t>
      </w:r>
      <w:proofErr w:type="spellStart"/>
      <w:r w:rsidR="00380102">
        <w:rPr>
          <w:i/>
        </w:rPr>
        <w:t>arvense</w:t>
      </w:r>
      <w:proofErr w:type="spellEnd"/>
      <w:r w:rsidR="00380102">
        <w:t xml:space="preserve">). </w:t>
      </w:r>
      <w:r w:rsidR="00B40224">
        <w:t xml:space="preserve">In addition to overall loss of richness, it is worth noting the woody species gained represent alternative functional traits, and provide different habitat value than forbs and graminoids. </w:t>
      </w:r>
      <w:r>
        <w:t xml:space="preserve">There was a net zero gain of exotics, however exotic RCG accounts for the greatest 2019 mean cover in the entire assemblage (25-50% cover). In the Bogbean assemblage, new exotic species include </w:t>
      </w:r>
      <w:r w:rsidRPr="00AC2BE4">
        <w:rPr>
          <w:i/>
        </w:rPr>
        <w:t>Phalaris arundinaceae</w:t>
      </w:r>
      <w:r>
        <w:t xml:space="preserve"> (reed canary grass, RCG) and </w:t>
      </w:r>
      <w:r w:rsidRPr="00AC2BE4">
        <w:rPr>
          <w:i/>
        </w:rPr>
        <w:t xml:space="preserve">Iris </w:t>
      </w:r>
      <w:proofErr w:type="spellStart"/>
      <w:r w:rsidRPr="00AC2BE4">
        <w:rPr>
          <w:i/>
        </w:rPr>
        <w:t>pseudacorus</w:t>
      </w:r>
      <w:proofErr w:type="spellEnd"/>
      <w:r>
        <w:t xml:space="preserve"> (yellow flag iris). Although they are presently </w:t>
      </w:r>
      <w:r w:rsidRPr="00AC2BE4">
        <w:rPr>
          <w:u w:val="single"/>
        </w:rPr>
        <w:t>&lt;</w:t>
      </w:r>
      <w:r>
        <w:t xml:space="preserve"> 25% mean 2019 cover, these species are notorious for quickly spreading to the point of near-exclusion of other species (especially natives)</w:t>
      </w:r>
      <w:r w:rsidR="0026387D">
        <w:t xml:space="preserve"> </w:t>
      </w:r>
      <w:r w:rsidR="0026387D">
        <w:fldChar w:fldCharType="begin"/>
      </w:r>
      <w:r w:rsidR="00FF5F50">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26387D">
        <w:fldChar w:fldCharType="separate"/>
      </w:r>
      <w:r w:rsidR="00FF5F50" w:rsidRPr="00FF5F50">
        <w:rPr>
          <w:rFonts w:ascii="Calibri" w:hAnsi="Calibri" w:cs="Calibri"/>
        </w:rPr>
        <w:t>(Apfelbaum &amp; Sams, 1987; Sinks et al., 2021)</w:t>
      </w:r>
      <w:r w:rsidR="0026387D">
        <w:fldChar w:fldCharType="end"/>
      </w:r>
      <w:r>
        <w:t xml:space="preserve"> Within the Sedge assemblage, there was a net loss of 3 native species, and net gain of 3 exotic species, including yellow flag and RCG. As of 2019, these species accounted for </w:t>
      </w:r>
      <w:r w:rsidRPr="00AC2BE4">
        <w:rPr>
          <w:u w:val="single"/>
        </w:rPr>
        <w:t>&lt;</w:t>
      </w:r>
      <w:r>
        <w:t xml:space="preserve"> 25% mean cover, but are of significant management concern. These results reflect broader global trends of biodiversity loss paired with exotic invasion</w:t>
      </w:r>
      <w:r w:rsidRPr="00FF5F50">
        <w:t>. The unknown consequences of this invasion and native species loss may be creating broader instability within the Fraser River Estuary ecosystem through fragmented or lost propagule dispersal networks, and altered trophic cascades such as pollinator networks or primary production.</w:t>
      </w:r>
      <w:r>
        <w:t xml:space="preserve">  </w:t>
      </w:r>
    </w:p>
    <w:p w14:paraId="569D67BA" w14:textId="1093FDB0" w:rsidR="006268EF" w:rsidRDefault="006268EF" w:rsidP="006268EF">
      <w:pPr>
        <w:pStyle w:val="Heading3"/>
      </w:pPr>
      <w:r>
        <w:t>Cover abundance homogenization within assemblages; heterogeneity between assemblages</w:t>
      </w:r>
    </w:p>
    <w:p w14:paraId="1E813673" w14:textId="2CA8623E" w:rsidR="00436FFB" w:rsidRDefault="00436FFB" w:rsidP="00642FB2">
      <w:pPr>
        <w:ind w:firstLine="360"/>
      </w:pPr>
      <w:commentRangeStart w:id="16"/>
      <w:commentRangeStart w:id="17"/>
      <w:r>
        <w:t xml:space="preserve">We </w:t>
      </w:r>
      <w:commentRangeEnd w:id="16"/>
      <w:r w:rsidR="001121E1">
        <w:rPr>
          <w:rStyle w:val="CommentReference"/>
        </w:rPr>
        <w:commentReference w:id="16"/>
      </w:r>
      <w:commentRangeEnd w:id="17"/>
      <w:r w:rsidR="001121E1">
        <w:rPr>
          <w:rStyle w:val="CommentReference"/>
        </w:rPr>
        <w:commentReference w:id="17"/>
      </w:r>
      <w:r>
        <w:t xml:space="preserve">found that species cover has become more homogenized within assemblages, but more distinct between assemblages. That is, plots were more similar in species cover abundance within an </w:t>
      </w:r>
      <w:r>
        <w:lastRenderedPageBreak/>
        <w:t>assemblage, but increasingly dissimilar between assemblages (</w:t>
      </w:r>
      <w:r w:rsidR="00642FB2">
        <w:t xml:space="preserve">Figure </w:t>
      </w:r>
      <w:r w:rsidR="00642FB2">
        <w:rPr>
          <w:noProof/>
        </w:rPr>
        <w:t>2</w:t>
      </w:r>
      <w:r>
        <w:t>), indicating sharper contrasts in species compositional abundance between assemblages. The key driver of this trend was greater dominance in cover abundance by fewer species (</w:t>
      </w:r>
      <w:r w:rsidR="00535269">
        <w:t xml:space="preserve">Table </w:t>
      </w:r>
      <w:r w:rsidR="00535269">
        <w:rPr>
          <w:noProof/>
        </w:rPr>
        <w:t>1</w:t>
      </w:r>
      <w:r>
        <w:t xml:space="preserve">), while presence and cover abundance of ‘rare’ species became rarer. </w:t>
      </w:r>
    </w:p>
    <w:p w14:paraId="5E129A70" w14:textId="7CB7FADD" w:rsidR="00436FFB" w:rsidRDefault="00436FFB" w:rsidP="00FC700E">
      <w:pPr>
        <w:ind w:firstLine="360"/>
      </w:pPr>
      <w:commentRangeStart w:id="18"/>
      <w:r>
        <w:t>It</w:t>
      </w:r>
      <w:commentRangeEnd w:id="18"/>
      <w:r w:rsidR="001121E1">
        <w:rPr>
          <w:rStyle w:val="CommentReference"/>
        </w:rPr>
        <w:commentReference w:id="18"/>
      </w:r>
      <w:r>
        <w:t xml:space="preserve"> is worth noting changes in cover abundance for</w:t>
      </w:r>
      <w:r w:rsidR="00535269">
        <w:t xml:space="preserve"> </w:t>
      </w:r>
      <w:r>
        <w:rPr>
          <w:i/>
        </w:rPr>
        <w:t>Sidalcea hendersonii</w:t>
      </w:r>
      <w:r>
        <w:t xml:space="preserve">, </w:t>
      </w:r>
      <w:r w:rsidR="00535269">
        <w:t>a</w:t>
      </w:r>
      <w:r w:rsidR="00A44FA4">
        <w:t xml:space="preserve"> species of special concern</w:t>
      </w:r>
      <w:r w:rsidR="00535269">
        <w:t xml:space="preserve"> </w:t>
      </w:r>
      <w:r w:rsidR="00C779E6">
        <w:t>(</w:t>
      </w:r>
      <w:r w:rsidR="00535269">
        <w:t>blue-listed</w:t>
      </w:r>
      <w:r w:rsidR="00C779E6">
        <w:t>)</w:t>
      </w:r>
      <w:r w:rsidR="00535269">
        <w:t xml:space="preserve"> under the Canadian Species at Risk Act, </w:t>
      </w:r>
      <w:r>
        <w:t>which may inform conservation best practices. Cover abundance of the species was greatest in the Fescue assemblage in 1979, but</w:t>
      </w:r>
      <w:r w:rsidRPr="003B171D">
        <w:rPr>
          <w:i/>
        </w:rPr>
        <w:t xml:space="preserve"> </w:t>
      </w:r>
      <w:r>
        <w:t>decreased by 46% in 2019. However, it increased ~140% in the Sedge assemblage (</w:t>
      </w:r>
      <w:r w:rsidRPr="003B171D">
        <w:rPr>
          <w:u w:val="single"/>
        </w:rPr>
        <w:t>&lt;</w:t>
      </w:r>
      <w:r>
        <w:t xml:space="preserve"> 25% cover in 2019). It is difficult to say whether shifting abiotic conditions or encroaching exotic species such as RCG (~1430% increase to 25-50% plot cover in 2019) were responsible for the decline in </w:t>
      </w:r>
      <w:r>
        <w:rPr>
          <w:i/>
        </w:rPr>
        <w:t>S. hendersonii</w:t>
      </w:r>
      <w:r>
        <w:t xml:space="preserve"> abundance in the Fescue assemblage. However, these trends may represent an opportunity for new research to inform better conservation strategies. </w:t>
      </w:r>
    </w:p>
    <w:p w14:paraId="5D963EAA" w14:textId="01A4F84B" w:rsidR="00436FFB" w:rsidRDefault="00436FFB" w:rsidP="006268EF">
      <w:pPr>
        <w:ind w:firstLine="360"/>
      </w:pPr>
      <w:r>
        <w:t xml:space="preserve">Surprisingly, cover abundance of many the assemblage-dominant species have decreased over time. For example, in the Sedge assemblage both native keystone species </w:t>
      </w:r>
      <w:r w:rsidRPr="00AC2BE4">
        <w:rPr>
          <w:i/>
        </w:rPr>
        <w:t>Carex lyngbyei</w:t>
      </w:r>
      <w:r>
        <w:t xml:space="preserve"> and exotic grass </w:t>
      </w:r>
      <w:r w:rsidRPr="00AC2BE4">
        <w:rPr>
          <w:i/>
        </w:rPr>
        <w:t>Agrostis stolonifera</w:t>
      </w:r>
      <w:r>
        <w:t xml:space="preserve"> have decreased cover abundance from 1979-2019 (Fig</w:t>
      </w:r>
      <w:r w:rsidR="005A0CEB">
        <w:t>ure</w:t>
      </w:r>
      <w:r>
        <w:t xml:space="preserve"> 3), with each species losing ~25-35% cover abundance between 1979-2019. Meanwhile, exotic species </w:t>
      </w:r>
      <w:r w:rsidRPr="00AC2BE4">
        <w:rPr>
          <w:i/>
        </w:rPr>
        <w:t xml:space="preserve">Lythrum salicaria </w:t>
      </w:r>
      <w:r>
        <w:t xml:space="preserve">and </w:t>
      </w:r>
      <w:r w:rsidRPr="00AC2BE4">
        <w:rPr>
          <w:i/>
        </w:rPr>
        <w:t>Festuca arundinaceae</w:t>
      </w:r>
      <w:r>
        <w:t xml:space="preserve"> increased ~50% and 100%, respectively, in abundance (</w:t>
      </w:r>
      <w:r w:rsidRPr="00AC2BE4">
        <w:rPr>
          <w:u w:val="single"/>
        </w:rPr>
        <w:t>&lt;</w:t>
      </w:r>
      <w:r>
        <w:t xml:space="preserve"> 25% cover) by 2019 </w:t>
      </w:r>
      <w:r w:rsidR="008C37CD">
        <w:t>(</w:t>
      </w:r>
      <w:r w:rsidR="005A0CEB">
        <w:t>Table 7</w:t>
      </w:r>
      <w:r>
        <w:t xml:space="preserve">). </w:t>
      </w:r>
      <w:commentRangeStart w:id="19"/>
      <w:proofErr w:type="gramStart"/>
      <w:r>
        <w:t>Similarly</w:t>
      </w:r>
      <w:commentRangeEnd w:id="19"/>
      <w:proofErr w:type="gramEnd"/>
      <w:r w:rsidR="001121E1">
        <w:rPr>
          <w:rStyle w:val="CommentReference"/>
        </w:rPr>
        <w:commentReference w:id="19"/>
      </w:r>
      <w:r>
        <w:t xml:space="preserve">, in the Bogbean assemblage, cover abundance of native keystone species </w:t>
      </w:r>
      <w:r w:rsidRPr="00AC2BE4">
        <w:rPr>
          <w:i/>
        </w:rPr>
        <w:t>Menyanthes trifoliata</w:t>
      </w:r>
      <w:r>
        <w:t xml:space="preserve"> had declined ~21% (50-75% cover) by 2019, while cover of exotic </w:t>
      </w:r>
      <w:r w:rsidRPr="00AC2BE4">
        <w:rPr>
          <w:i/>
        </w:rPr>
        <w:t xml:space="preserve">Mentha aquatica </w:t>
      </w:r>
      <w:r>
        <w:t>had increased ~385% (~25-50%). Overall, the ratio of native to exotic cover within assemblages is decreasing, resulting in greater proportional cover abundance of exotic species (</w:t>
      </w:r>
      <w:r w:rsidR="008C37CD" w:rsidRPr="00FC700E">
        <w:t xml:space="preserve">Figure </w:t>
      </w:r>
      <w:r w:rsidR="008C37CD" w:rsidRPr="00FC700E">
        <w:rPr>
          <w:noProof/>
        </w:rPr>
        <w:t>5</w:t>
      </w:r>
      <w:r w:rsidR="00B8617A" w:rsidRPr="00FC700E">
        <w:t>b</w:t>
      </w:r>
      <w:r>
        <w:t xml:space="preserve">). </w:t>
      </w:r>
      <w:r w:rsidRPr="00457D2C">
        <w:t xml:space="preserve">This indicates certain exotic species are becoming more abundant within assemblages, however few species (native or exotic) represent the majority of cover within the assemblage.  </w:t>
      </w:r>
    </w:p>
    <w:p w14:paraId="67EEE98E" w14:textId="77777777" w:rsidR="00436FFB" w:rsidRDefault="00436FFB" w:rsidP="006268EF">
      <w:pPr>
        <w:pStyle w:val="Heading3"/>
      </w:pPr>
      <w:r>
        <w:t xml:space="preserve">Shifts in secondary indicator species </w:t>
      </w:r>
    </w:p>
    <w:p w14:paraId="5382D8B5" w14:textId="4FB26950" w:rsidR="00436FFB" w:rsidRDefault="00436FFB" w:rsidP="00FC700E">
      <w:pPr>
        <w:spacing w:before="240"/>
        <w:ind w:firstLine="360"/>
      </w:pPr>
      <w:commentRangeStart w:id="20"/>
      <w:r>
        <w:t xml:space="preserve">The </w:t>
      </w:r>
      <w:commentRangeEnd w:id="20"/>
      <w:r w:rsidR="00AA5390">
        <w:rPr>
          <w:rStyle w:val="CommentReference"/>
        </w:rPr>
        <w:commentReference w:id="20"/>
      </w:r>
      <w:r>
        <w:t xml:space="preserve">species indicator analysis of clustered assemblages showed that assemblage-defining species (Bogbean, Fescue, Sedge) remained consistent, however there were overall losses in indicator species, and few of those indicator species were consistently represented in the analysis over time. For example, the Sedge and Fescue assemblages had the greatest losses of assemblage indicator species. The Fescue assemblage included six indicator species in 1979, but only three in 2019, while the Sedge assemblage had three species in 1979, but only one in 2019. In both assemblages, the only species that remained the same ‘indicators’ were the </w:t>
      </w:r>
      <w:r w:rsidR="00FC700E">
        <w:t>assemblage-</w:t>
      </w:r>
      <w:r>
        <w:t xml:space="preserve">defining species </w:t>
      </w:r>
      <w:r>
        <w:rPr>
          <w:i/>
        </w:rPr>
        <w:t>Carex lyngbyei</w:t>
      </w:r>
      <w:r>
        <w:t xml:space="preserve"> (sedge), and </w:t>
      </w:r>
      <w:r>
        <w:rPr>
          <w:i/>
        </w:rPr>
        <w:t>Festuca arundinaceae</w:t>
      </w:r>
      <w:r>
        <w:t>, (fescue). However, in the Fescue assemblage RCG (</w:t>
      </w:r>
      <w:r>
        <w:rPr>
          <w:i/>
        </w:rPr>
        <w:t>Phalaris arundinaceae</w:t>
      </w:r>
      <w:r>
        <w:t xml:space="preserve">) has replaced </w:t>
      </w:r>
      <w:r>
        <w:rPr>
          <w:i/>
        </w:rPr>
        <w:t xml:space="preserve">F. arundinaceae </w:t>
      </w:r>
      <w:r>
        <w:t xml:space="preserve">as the most significant indicator species. </w:t>
      </w:r>
    </w:p>
    <w:p w14:paraId="5DC075B6" w14:textId="77777777" w:rsidR="00436FFB" w:rsidRDefault="00436FFB" w:rsidP="00FC700E">
      <w:pPr>
        <w:spacing w:before="240"/>
        <w:ind w:firstLine="360"/>
      </w:pPr>
      <w:commentRangeStart w:id="21"/>
      <w:r>
        <w:t xml:space="preserve">The </w:t>
      </w:r>
      <w:commentRangeEnd w:id="21"/>
      <w:r w:rsidR="00AA5390">
        <w:rPr>
          <w:rStyle w:val="CommentReference"/>
        </w:rPr>
        <w:commentReference w:id="21"/>
      </w:r>
      <w:r>
        <w:t>identity of the shifting indicator species may offer clues to changing abiotic conditions or functional traits. For example, the indicator species analysis for the Sedge assemblage in 1979 included indicators of highly saturated soils (</w:t>
      </w:r>
      <w:r>
        <w:rPr>
          <w:i/>
        </w:rPr>
        <w:t>Sagittaria latifolia, Schoenoplectus tabernaemontani</w:t>
      </w:r>
      <w:r>
        <w:t>), but in 1999 the assemblage indicators included species tolerant of drier conditions (</w:t>
      </w:r>
      <w:r>
        <w:rPr>
          <w:i/>
        </w:rPr>
        <w:t>Agrostis stolonifera, Impatiens capensis</w:t>
      </w:r>
      <w:r>
        <w:t xml:space="preserve">). Alternatively, if the shifts in assemblage indicator species do not readily point to functional traits or abiotic factors, they may be more indicative of the likelihood of high interannual variability in the assemblage or broader community despite the perennial life history of many of the species. For example, the number of indicator species for the Bogbean assemblage varied across time, with 6, 10, </w:t>
      </w:r>
      <w:r>
        <w:lastRenderedPageBreak/>
        <w:t xml:space="preserve">and 6 species in 1979, 1999, and 2019, respectively. In the Fescue assemblage, woody willow species </w:t>
      </w:r>
      <w:r>
        <w:rPr>
          <w:i/>
        </w:rPr>
        <w:t>Salix lasiandra</w:t>
      </w:r>
      <w:r>
        <w:t xml:space="preserve"> was an indicator species in 1979, and therefore one might expect a succession of riparian fringe over time. By 1999 the species was no longer a significant indicator species, which either suggests a long-term shift in environmental factors making the habitat less hospitable to willow (such as encroachment of RCG), or that environmental factors shift so frequently that indicator species will shift accordingly on faster timescales.  </w:t>
      </w:r>
    </w:p>
    <w:p w14:paraId="3B70BEC7" w14:textId="77777777" w:rsidR="00436FFB" w:rsidRDefault="00436FFB" w:rsidP="00FC700E">
      <w:pPr>
        <w:ind w:firstLine="360"/>
      </w:pPr>
      <w:r>
        <w:t xml:space="preserve">The turnover of secondary indicator species may simply represent dynamic trends in compositional abundance. However, greater homogeneity of cover abundance within assemblages, and greater compositional abundance distinction between assemblages may result directly from overall loss of native floristic richness. These trends of high turnover and loss of richness may indicate greater susceptibility to invasion </w:t>
      </w:r>
      <w:r w:rsidRPr="008D464D">
        <w:rPr>
          <w:rFonts w:ascii="Calibri" w:hAnsi="Calibri" w:cs="Calibri"/>
          <w:szCs w:val="24"/>
        </w:rPr>
        <w:t>(</w:t>
      </w:r>
      <w:proofErr w:type="spellStart"/>
      <w:r w:rsidRPr="008D464D">
        <w:rPr>
          <w:rFonts w:ascii="Calibri" w:hAnsi="Calibri" w:cs="Calibri"/>
          <w:szCs w:val="24"/>
        </w:rPr>
        <w:t>Kuiters</w:t>
      </w:r>
      <w:proofErr w:type="spellEnd"/>
      <w:r w:rsidRPr="008D464D">
        <w:rPr>
          <w:rFonts w:ascii="Calibri" w:hAnsi="Calibri" w:cs="Calibri"/>
          <w:szCs w:val="24"/>
        </w:rPr>
        <w:t xml:space="preserve">, </w:t>
      </w:r>
      <w:r>
        <w:rPr>
          <w:rFonts w:ascii="Calibri" w:hAnsi="Calibri" w:cs="Calibri"/>
          <w:i/>
          <w:szCs w:val="24"/>
        </w:rPr>
        <w:t>et al.</w:t>
      </w:r>
      <w:r w:rsidRPr="008D464D">
        <w:rPr>
          <w:rFonts w:ascii="Calibri" w:hAnsi="Calibri" w:cs="Calibri"/>
          <w:szCs w:val="24"/>
        </w:rPr>
        <w:t>, 2009)</w:t>
      </w:r>
      <w:r>
        <w:rPr>
          <w:rFonts w:ascii="Calibri" w:hAnsi="Calibri" w:cs="Calibri"/>
          <w:szCs w:val="24"/>
        </w:rPr>
        <w:t xml:space="preserve">, and thus a loss of resistance over time to exotic species encroachment.  </w:t>
      </w:r>
    </w:p>
    <w:p w14:paraId="6F53B534" w14:textId="77777777" w:rsidR="00436FFB" w:rsidRDefault="00436FFB" w:rsidP="00436FFB">
      <w:pPr>
        <w:pStyle w:val="Heading2"/>
      </w:pPr>
      <w:r>
        <w:t>Potential mechanisms</w:t>
      </w:r>
    </w:p>
    <w:p w14:paraId="795B6EB8" w14:textId="77777777" w:rsidR="00436FFB" w:rsidRDefault="00436FFB" w:rsidP="00FC700E">
      <w:pPr>
        <w:ind w:firstLine="720"/>
      </w:pPr>
      <w:r>
        <w:t xml:space="preserve">We propose several interacting mechanisms are likely responsible for the observed changes. These mechanisms include fragmentation of remnant tidal wetlands (loss of native propagules) and increased exotic abundance from municipal and agricultural settlement (introduction of exotic propagules), combined with altered sedimentation processes and resulting edaphic conditions. </w:t>
      </w:r>
    </w:p>
    <w:p w14:paraId="43B37929" w14:textId="2EE50FA6" w:rsidR="00436FFB" w:rsidRDefault="00436FFB" w:rsidP="00FC700E">
      <w:pPr>
        <w:ind w:firstLine="720"/>
      </w:pPr>
      <w:r>
        <w:t>Local colonization and extinction dependent on the local, but also regional propagule pool. At the local scale, if secondary species are becoming rarer due to local extinction, this results in loss of local propagative inputs to the habitat. However, local native species loss may be rescued by dispersal through regional aquatic networks.</w:t>
      </w:r>
      <w:r w:rsidR="00E57F13">
        <w:t xml:space="preserve"> I</w:t>
      </w:r>
      <w:r>
        <w:t>f similar habitats within the estuarine ecosystem are lost to the point where distance between patches exceeds propagule dispersal distance</w:t>
      </w:r>
      <w:r w:rsidR="00EC470A">
        <w:t xml:space="preserve"> </w:t>
      </w:r>
      <w:r w:rsidR="00EC470A">
        <w:fldChar w:fldCharType="begin"/>
      </w:r>
      <w:r w:rsidR="00EC470A">
        <w:instrText xml:space="preserve"> ADDIN ZOTERO_ITEM CSL_CITATION {"citationID":"AehiFwRj","properties":{"formattedCitation":"(Shi, Shao, Gualtieri, Purnama, &amp; Cui, 2020)","plainCitation":"(Shi, Shao, Gualtieri, Purnama, &amp; Cui, 2020)","noteIndex":0},"citationItems":[{"id":1291,"uris":["http://zotero.org/users/6092945/items/7352ESPA"],"itemData":{"id":1291,"type":"article-journal","abstract":"Seed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EC470A">
        <w:fldChar w:fldCharType="separate"/>
      </w:r>
      <w:r w:rsidR="00EC470A" w:rsidRPr="00EC470A">
        <w:rPr>
          <w:rFonts w:ascii="Calibri" w:hAnsi="Calibri" w:cs="Calibri"/>
        </w:rPr>
        <w:t xml:space="preserve">(Shi, </w:t>
      </w:r>
      <w:r w:rsidR="000E45C4">
        <w:rPr>
          <w:rFonts w:ascii="Calibri" w:hAnsi="Calibri" w:cs="Calibri"/>
        </w:rPr>
        <w:t>et al.</w:t>
      </w:r>
      <w:r w:rsidR="00EC470A" w:rsidRPr="00EC470A">
        <w:rPr>
          <w:rFonts w:ascii="Calibri" w:hAnsi="Calibri" w:cs="Calibri"/>
        </w:rPr>
        <w:t>, 2020)</w:t>
      </w:r>
      <w:r w:rsidR="00EC470A">
        <w:fldChar w:fldCharType="end"/>
      </w:r>
      <w:r>
        <w:t>, then species colonization within the ecosystem is rare or lost. Similarly, if exotic species are more prevalent throughout the regional dispersal network, then there is a greater chance of exotic species introduction over native within a local marsh community. Ladner Marsh was</w:t>
      </w:r>
      <w:r w:rsidR="00F82BB0">
        <w:t xml:space="preserve"> historically</w:t>
      </w:r>
      <w:r>
        <w:t xml:space="preserve"> described as being high in floristic diversity</w:t>
      </w:r>
      <w:r w:rsidR="00E83209">
        <w:t xml:space="preserve"> </w:t>
      </w:r>
      <w:r w:rsidR="00E83209">
        <w:fldChar w:fldCharType="begin"/>
      </w:r>
      <w:r w:rsidR="00E83209">
        <w:instrText xml:space="preserve"> ADDIN ZOTERO_ITEM CSL_CITATION {"citationID":"nM90fTp0","properties":{"formattedCitation":"(Bradfield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E83209">
        <w:fldChar w:fldCharType="separate"/>
      </w:r>
      <w:r w:rsidR="00E83209" w:rsidRPr="00E83209">
        <w:rPr>
          <w:rFonts w:ascii="Calibri" w:hAnsi="Calibri" w:cs="Calibri"/>
        </w:rPr>
        <w:t>(Bradfield &amp; Porter, 1982)</w:t>
      </w:r>
      <w:r w:rsidR="00E83209">
        <w:fldChar w:fldCharType="end"/>
      </w:r>
      <w:r>
        <w:t xml:space="preserve">. </w:t>
      </w:r>
      <w:commentRangeStart w:id="22"/>
      <w:r>
        <w:t xml:space="preserve">We found this site is losing total species diversity, and becoming homogenized in terms of species cover. </w:t>
      </w:r>
      <w:commentRangeEnd w:id="22"/>
      <w:r w:rsidR="00D83711">
        <w:rPr>
          <w:rStyle w:val="CommentReference"/>
        </w:rPr>
        <w:commentReference w:id="22"/>
      </w:r>
      <w:r>
        <w:t>This</w:t>
      </w:r>
      <w:r w:rsidR="00F82BB0">
        <w:t xml:space="preserve"> may</w:t>
      </w:r>
      <w:r>
        <w:t xml:space="preserve"> indicate that a source of native propagules is being lost in the Fraser River Estuary dispersal network, and/or abundance of exotic propagules are more readily available, and thus more competitive in the environment. As exotic species increase in presence and abundance, they co-opt space and resources, increasing stress upon the native ecosystem. This stress feedback loop further shifts community composition and function, and over time consequential abiotic shifts may be altering the seed recruitment niches to favor exotics and limit native species recruitment</w:t>
      </w:r>
      <w:r w:rsidR="00B743C0">
        <w:t xml:space="preserve"> </w:t>
      </w:r>
      <w:r w:rsidR="000D3AD7">
        <w:fldChar w:fldCharType="begin"/>
      </w:r>
      <w:r w:rsidR="00EC470A">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0D3AD7">
        <w:fldChar w:fldCharType="separate"/>
      </w:r>
      <w:r w:rsidR="000D3AD7" w:rsidRPr="000D3AD7">
        <w:rPr>
          <w:rFonts w:ascii="Calibri" w:hAnsi="Calibri" w:cs="Calibri"/>
        </w:rPr>
        <w:t>(Lane, 2022)</w:t>
      </w:r>
      <w:r w:rsidR="000D3AD7">
        <w:fldChar w:fldCharType="end"/>
      </w:r>
      <w:r>
        <w:t>. This reflects a general trend of exotic species’ competitive advantage in disturbed systems, and represents ongoing press disturbance by anthropogenic impacts with cumulative ecosystem effects.</w:t>
      </w:r>
    </w:p>
    <w:p w14:paraId="573BFE86" w14:textId="4551EDDD" w:rsidR="00436FFB" w:rsidRDefault="00436FFB" w:rsidP="00FC700E">
      <w:pPr>
        <w:ind w:firstLine="720"/>
      </w:pPr>
      <w:r>
        <w:t>A key abiotic driver of tidal marsh development includes sediment deposition</w:t>
      </w:r>
      <w:r w:rsidR="00F82BB0">
        <w:t xml:space="preserve">, which </w:t>
      </w:r>
      <w:r>
        <w:t>allows plant communities to compensate for changing inundation rates due to sea level rise</w:t>
      </w:r>
      <w:r w:rsidR="00E83209">
        <w:t xml:space="preserve"> </w:t>
      </w:r>
      <w:r w:rsidR="00E83209">
        <w:fldChar w:fldCharType="begin"/>
      </w:r>
      <w:r w:rsidR="000D57FF">
        <w:instrText xml:space="preserve"> ADDIN ZOTERO_ITEM CSL_CITATION {"citationID":"YjR9QbFC","properties":{"formattedCitation":"(Marijnissen,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Engineering","DOI":"10.3390/jmse8010042","issue":"1","language":"en","license":"http://creativecommons.org/licenses/by/3.0/","page":"42","source":"www.mdpi.com","title":"The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83209">
        <w:fldChar w:fldCharType="separate"/>
      </w:r>
      <w:r w:rsidR="00E83209" w:rsidRPr="00E83209">
        <w:rPr>
          <w:rFonts w:ascii="Calibri" w:hAnsi="Calibri" w:cs="Calibri"/>
        </w:rPr>
        <w:t xml:space="preserve">(Marijnissen, </w:t>
      </w:r>
      <w:r w:rsidR="00E83209">
        <w:rPr>
          <w:rFonts w:ascii="Calibri" w:hAnsi="Calibri" w:cs="Calibri"/>
        </w:rPr>
        <w:t>et al.</w:t>
      </w:r>
      <w:r w:rsidR="00E83209" w:rsidRPr="00E83209">
        <w:rPr>
          <w:rFonts w:ascii="Calibri" w:hAnsi="Calibri" w:cs="Calibri"/>
        </w:rPr>
        <w:t>, 2020)</w:t>
      </w:r>
      <w:r w:rsidR="00E83209">
        <w:fldChar w:fldCharType="end"/>
      </w:r>
      <w:r w:rsidR="00E83209">
        <w:rPr>
          <w:rFonts w:ascii="Calibri" w:hAnsi="Calibri" w:cs="Calibri"/>
        </w:rPr>
        <w:t>.</w:t>
      </w:r>
      <w:r>
        <w:t xml:space="preserve"> Sediment delivered by river transport is trapped by vegetation, creating a feedback loop of rising tidal marsh platforms, increased vegetation growth, and increased sediment trapping capacity </w:t>
      </w:r>
      <w:r w:rsidR="0038013D">
        <w:fldChar w:fldCharType="begin"/>
      </w:r>
      <w:r w:rsidR="0038013D">
        <w:instrText xml:space="preserve"> ADDIN ZOTERO_ITEM CSL_CITATION {"citationID":"8XDvy6Mx","properties":{"formattedCitation":"(Corenblit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Biogeography","DOI":"10.1111/geb.12373","ISSN":"1466-8238","issue":"12","language":"en","license":"© 2015 John Wiley &amp; Sons Ltd","page":"1363-1376","source":"Wiley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label":"page"},{"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1091-6490","issue":"41","journalAbbreviation":"PNAS","language":"en","license":"© 2018 . http://www.pnas.org/site/aboutpnas/licenses.xhtmlPublished under the PNAS license.","note":"publisher: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label":"act"}],"schema":"https://github.com/citation-style-language/schema/raw/master/csl-citation.json"} </w:instrText>
      </w:r>
      <w:r w:rsidR="0038013D">
        <w:fldChar w:fldCharType="separate"/>
      </w:r>
      <w:r w:rsidR="0038013D" w:rsidRPr="0038013D">
        <w:rPr>
          <w:rFonts w:ascii="Calibri" w:hAnsi="Calibri" w:cs="Calibri"/>
        </w:rPr>
        <w:t>(Corenblit et al., 2015; Peteet et al., 2018)</w:t>
      </w:r>
      <w:r w:rsidR="0038013D">
        <w:fldChar w:fldCharType="end"/>
      </w:r>
      <w:r>
        <w:t>.</w:t>
      </w:r>
      <w:r w:rsidRPr="0086197C">
        <w:t xml:space="preserve"> In their 1982 publication, Bradfield and Porter proposed assemblage occurrence was largely driven by edaphic factors, with the Bogbean assemblage occurring in poorly drained areas, Sedge assemblage occurring in regularly flooded and drained areas, and Fescue </w:t>
      </w:r>
      <w:r w:rsidRPr="0086197C">
        <w:lastRenderedPageBreak/>
        <w:t xml:space="preserve">assemblage along slightly elevated channel edges.  </w:t>
      </w:r>
      <w:r>
        <w:t xml:space="preserve">Native </w:t>
      </w:r>
      <w:r w:rsidRPr="0041394A">
        <w:rPr>
          <w:i/>
        </w:rPr>
        <w:t>Menyanthes trifoliata</w:t>
      </w:r>
      <w:r>
        <w:t xml:space="preserve"> (bogbean) and exotic </w:t>
      </w:r>
      <w:r w:rsidRPr="0041394A">
        <w:rPr>
          <w:i/>
        </w:rPr>
        <w:t>Mentha aquatica</w:t>
      </w:r>
      <w:r>
        <w:t xml:space="preserve"> are highly adapted to aquatic or poorly drained habitats, and the increased prevalence of plots clustered in the Bogbean assemblage within </w:t>
      </w:r>
      <w:commentRangeStart w:id="23"/>
      <w:r>
        <w:t xml:space="preserve">Ladner </w:t>
      </w:r>
      <w:commentRangeEnd w:id="23"/>
      <w:r w:rsidR="00D83711">
        <w:rPr>
          <w:rStyle w:val="CommentReference"/>
        </w:rPr>
        <w:commentReference w:id="23"/>
      </w:r>
      <w:r>
        <w:t>Marsh may be indicative of changing edaphic factors such as sediment starvation or marsh subsidence</w:t>
      </w:r>
      <w:r w:rsidR="00547922">
        <w:t xml:space="preserve"> </w:t>
      </w:r>
      <w:r w:rsidR="00547922">
        <w:fldChar w:fldCharType="begin"/>
      </w:r>
      <w:r w:rsidR="000D57FF">
        <w:instrText xml:space="preserve"> ADDIN ZOTERO_ITEM CSL_CITATION {"citationID":"ffTxdVtj","properties":{"formattedCitation":"(Mendelssohn &amp; Kuhn, 2003; Nyman, Walters, Delaune, &amp; Patrick, 2006)","plainCitation":"(Mendelssohn &amp; Kuhn, 2003; Nyman, Walters, Delaune, &amp; Patrick, 2006)","dontUpdate":true,"noteIndex":0},"citationItems":[{"id":2586,"uris":["http://zotero.org/users/6092945/items/XWSKQ5BS"],"itemData":{"id":2586,"type":"article-journal","abstract":"The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L"}],"issued":{"date-parts":[["2003",12,1]]}},"label":"page"},{"id":2590,"uris":["http://zotero.org/users/6092945/items/M559YY8K"],"itemData":{"id":2590,"type":"article-journal","abstract":"Coastal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H."}],"issued":{"date-parts":[["2006",9,1]]}},"label":"act"}],"schema":"https://github.com/citation-style-language/schema/raw/master/csl-citation.json"} </w:instrText>
      </w:r>
      <w:r w:rsidR="00547922">
        <w:fldChar w:fldCharType="separate"/>
      </w:r>
      <w:r w:rsidR="00547922" w:rsidRPr="00547922">
        <w:rPr>
          <w:rFonts w:ascii="Calibri" w:hAnsi="Calibri" w:cs="Calibri"/>
        </w:rPr>
        <w:t xml:space="preserve">(Mendelssohn &amp; Kuhn, 2003; Nyman, </w:t>
      </w:r>
      <w:r w:rsidR="00547922">
        <w:rPr>
          <w:rFonts w:ascii="Calibri" w:hAnsi="Calibri" w:cs="Calibri"/>
        </w:rPr>
        <w:t>et al.</w:t>
      </w:r>
      <w:r w:rsidR="00547922" w:rsidRPr="00547922">
        <w:rPr>
          <w:rFonts w:ascii="Calibri" w:hAnsi="Calibri" w:cs="Calibri"/>
        </w:rPr>
        <w:t>, 2006)</w:t>
      </w:r>
      <w:r w:rsidR="00547922">
        <w:fldChar w:fldCharType="end"/>
      </w:r>
      <w:r>
        <w:t xml:space="preserve">. Conversely, in 1979 the Sedge assemblage was characterized by indicator species tolerant of highly saturated conditions, but by 2019 the assemblage included species more tolerant of drier conditions. These contrasting changes may indicate assemblage-specific patterns of </w:t>
      </w:r>
      <w:r w:rsidR="00F32DD5">
        <w:t xml:space="preserve">marsh platform </w:t>
      </w:r>
      <w:r>
        <w:t>subsidence and sediment deposition driven by vegetation structure or physical settling processes during sediment deposition.</w:t>
      </w:r>
    </w:p>
    <w:p w14:paraId="33A03259" w14:textId="7C9D92F2" w:rsidR="00436FFB" w:rsidRPr="00566C8F" w:rsidRDefault="00436FFB" w:rsidP="00FC700E">
      <w:pPr>
        <w:ind w:firstLine="720"/>
      </w:pPr>
      <w:r>
        <w:t xml:space="preserve">Loss of sediment within the Lower Fraser River reaches is driven by a combination of factors, such as increased impervious cover, bank </w:t>
      </w:r>
      <w:proofErr w:type="spellStart"/>
      <w:r>
        <w:t>dyking</w:t>
      </w:r>
      <w:proofErr w:type="spellEnd"/>
      <w:r>
        <w:t xml:space="preserve"> or armoring, and channel dredging</w:t>
      </w:r>
      <w:r w:rsidR="00D70908">
        <w:t xml:space="preserve"> </w:t>
      </w:r>
      <w:r w:rsidR="00D70908">
        <w:fldChar w:fldCharType="begin"/>
      </w:r>
      <w:r w:rsidR="00D70908">
        <w:instrText xml:space="preserve"> ADDIN ZOTERO_ITEM CSL_CITATION {"citationID":"DHpdUV8W","properties":{"formattedCitation":"(Atkins, Tidd, &amp; Ruffo, 2016)","plainCitation":"(Atkins, Tidd, &amp; Ruffo,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D70908">
        <w:fldChar w:fldCharType="separate"/>
      </w:r>
      <w:r w:rsidR="00D70908" w:rsidRPr="00D70908">
        <w:rPr>
          <w:rFonts w:ascii="Calibri" w:hAnsi="Calibri" w:cs="Calibri"/>
        </w:rPr>
        <w:t>(Atkins, Tidd, &amp; Ruffo, 2016)</w:t>
      </w:r>
      <w:r w:rsidR="00D70908">
        <w:fldChar w:fldCharType="end"/>
      </w:r>
      <w:r>
        <w:t>. Edaphic shifts resulting in more saturated areas</w:t>
      </w:r>
      <w:r w:rsidR="003E77DE">
        <w:t>, such as sediment starvation or subsidence,</w:t>
      </w:r>
      <w:r>
        <w:t xml:space="preserve"> would likely drive the increased prevalence of Bogbean assemblage, and may also be driving disappearance of species across all assemblages, as fewer species are able to tolerate increasingly saturated conditions. Similarly, areas receiving more sediment would accrete in elevation, and may also be more likely to receive exotic propagules within the distributed sediment. Thus, these processes may be altering the recruitment niche for clonal and seed propagules</w:t>
      </w:r>
      <w:r w:rsidR="00D70908">
        <w:t xml:space="preserve"> </w:t>
      </w:r>
      <w:r w:rsidR="00D70908">
        <w:fldChar w:fldCharType="begin"/>
      </w:r>
      <w:r w:rsidR="00EC470A">
        <w:instrText xml:space="preserve"> ADDIN ZOTERO_ITEM CSL_CITATION {"citationID":"YQO401hJ","properties":{"formattedCitation":"(Lane,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D70908">
        <w:fldChar w:fldCharType="separate"/>
      </w:r>
      <w:r w:rsidR="000D3AD7" w:rsidRPr="000D3AD7">
        <w:rPr>
          <w:rFonts w:ascii="Calibri" w:hAnsi="Calibri" w:cs="Calibri"/>
        </w:rPr>
        <w:t>(Lane, 2022)</w:t>
      </w:r>
      <w:r w:rsidR="00D70908">
        <w:fldChar w:fldCharType="end"/>
      </w:r>
      <w:r>
        <w:t xml:space="preserve">, which may favor species tolerant to the changing soil conditions (e.g., </w:t>
      </w:r>
      <w:r w:rsidR="00F32DD5">
        <w:t>RCG</w:t>
      </w:r>
      <w:r>
        <w:t xml:space="preserve">). </w:t>
      </w:r>
    </w:p>
    <w:p w14:paraId="23B847BE" w14:textId="77777777" w:rsidR="00436FFB" w:rsidRPr="009860B6" w:rsidRDefault="00436FFB" w:rsidP="00436FFB">
      <w:pPr>
        <w:pStyle w:val="Heading2"/>
      </w:pPr>
      <w:r w:rsidRPr="009860B6">
        <w:t>Limitations &amp; opportunities</w:t>
      </w:r>
    </w:p>
    <w:p w14:paraId="6FA4FB78" w14:textId="77777777" w:rsidR="00436FFB" w:rsidRPr="002275CC" w:rsidRDefault="00436FFB" w:rsidP="00FC700E">
      <w:pPr>
        <w:ind w:firstLine="720"/>
      </w:pPr>
      <w:commentRangeStart w:id="24"/>
      <w:r>
        <w:t xml:space="preserve">While </w:t>
      </w:r>
      <w:commentRangeEnd w:id="24"/>
      <w:r w:rsidR="007F678F">
        <w:rPr>
          <w:rStyle w:val="CommentReference"/>
        </w:rPr>
        <w:commentReference w:id="24"/>
      </w:r>
      <w:r>
        <w:t xml:space="preserve">these data have shown coarse trends through time, we cannot account for interannual variation in compositional abundance trends. However, this snapshot of long-term trends may be used to refine future questions such as identifying whether abiotic drivers, recruitment potential, or assemblage-scale conservation of species diversity convey greater susceptibility or resistance to invasion and loss of native species diversity. We observed that while the Bogbean assemblage showed an increasing abundance of exotic </w:t>
      </w:r>
      <w:r>
        <w:rPr>
          <w:i/>
        </w:rPr>
        <w:t>Mentha aquatica</w:t>
      </w:r>
      <w:r>
        <w:t xml:space="preserve">, it retained cover abundance and increased richness of native species. Thus, although the assemblage is being invaded, homogenization and loss of diversity may be happening more slowly than in other assemblages. These trends may yield further insights to how abiotic processes mitigate or facilitate competitive pre-emption of space and propagule recruitment to prevent loss of species diversity.  </w:t>
      </w:r>
    </w:p>
    <w:p w14:paraId="27501452" w14:textId="46901245" w:rsidR="00436FFB" w:rsidRDefault="00436FFB" w:rsidP="00FC700E">
      <w:pPr>
        <w:ind w:firstLine="720"/>
      </w:pPr>
      <w:r>
        <w:t xml:space="preserve">Ecosystem stressors such as sediment loss, propagule loss, and competitive strategies are likely interacting, resulting in loss of species diversity and facilitating spread of invasive species. Disentangling explicit causes would be no easy task, however experimentally testing effects of sediment loading on species-specific clonal or seed </w:t>
      </w:r>
      <w:r w:rsidR="001961B7">
        <w:t xml:space="preserve">propagule </w:t>
      </w:r>
      <w:r>
        <w:t xml:space="preserve">recruitment would prove valuable for understanding best practices to shift the plant community towards functionally desired compositional </w:t>
      </w:r>
      <w:commentRangeStart w:id="25"/>
      <w:r>
        <w:t>states</w:t>
      </w:r>
      <w:commentRangeEnd w:id="25"/>
      <w:r w:rsidR="004D1F88">
        <w:rPr>
          <w:rStyle w:val="CommentReference"/>
        </w:rPr>
        <w:commentReference w:id="25"/>
      </w:r>
      <w:r>
        <w:t xml:space="preserve">. </w:t>
      </w:r>
    </w:p>
    <w:p w14:paraId="46284CA7" w14:textId="77777777" w:rsidR="00436FFB" w:rsidRPr="009860B6" w:rsidRDefault="00436FFB" w:rsidP="00436FFB">
      <w:pPr>
        <w:pStyle w:val="Heading2"/>
      </w:pPr>
      <w:r>
        <w:t>A</w:t>
      </w:r>
      <w:r w:rsidRPr="009860B6">
        <w:t>pplications</w:t>
      </w:r>
    </w:p>
    <w:p w14:paraId="13118BB8" w14:textId="4CBD532E" w:rsidR="00436FFB" w:rsidRDefault="00436FFB" w:rsidP="00FC700E">
      <w:pPr>
        <w:ind w:firstLine="720"/>
      </w:pPr>
      <w:r>
        <w:t xml:space="preserve">Despite our knowledge to the contrary, </w:t>
      </w:r>
      <w:r w:rsidR="00A16B4B">
        <w:t>practitioners</w:t>
      </w:r>
      <w:r>
        <w:t xml:space="preserve"> often erroneously assume no direct anthropogenic disturbance suffices to conserve an ecologically appropriate reference state</w:t>
      </w:r>
      <w:r w:rsidR="00D04961">
        <w:t xml:space="preserve"> </w:t>
      </w:r>
      <w:r w:rsidR="00D04961">
        <w:fldChar w:fldCharType="begin"/>
      </w:r>
      <w:r w:rsidR="00D04961">
        <w:instrText xml:space="preserve"> ADDIN ZOTERO_ITEM CSL_CITATION {"citationID":"VNaIJc7D","properties":{"formattedCitation":"(Stoddard, Larsen, Hawkins, Johnson, &amp; Norris, 2006)","plainCitation":"(Stoddard, Larsen, Hawkins, Johnson, &amp; Norris, 2006)","noteIndex":0},"citationItems":[{"id":2674,"uris":["http://zotero.org/users/6092945/items/LUN76VCV"],"itemData":{"id":2674,"type":"article-journal","abstract":"An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D04961">
        <w:fldChar w:fldCharType="separate"/>
      </w:r>
      <w:r w:rsidR="00D04961" w:rsidRPr="00D04961">
        <w:rPr>
          <w:rFonts w:ascii="Calibri" w:hAnsi="Calibri" w:cs="Calibri"/>
        </w:rPr>
        <w:t>(</w:t>
      </w:r>
      <w:r w:rsidR="00D04961">
        <w:rPr>
          <w:rFonts w:ascii="Calibri" w:hAnsi="Calibri" w:cs="Calibri"/>
        </w:rPr>
        <w:t xml:space="preserve">e.g., </w:t>
      </w:r>
      <w:r w:rsidR="00D04961" w:rsidRPr="00D04961">
        <w:rPr>
          <w:rFonts w:ascii="Calibri" w:hAnsi="Calibri" w:cs="Calibri"/>
        </w:rPr>
        <w:t xml:space="preserve">Stoddard, </w:t>
      </w:r>
      <w:r w:rsidR="00D04961">
        <w:rPr>
          <w:rFonts w:ascii="Calibri" w:hAnsi="Calibri" w:cs="Calibri"/>
        </w:rPr>
        <w:t>et al.</w:t>
      </w:r>
      <w:r w:rsidR="00D04961" w:rsidRPr="00D04961">
        <w:rPr>
          <w:rFonts w:ascii="Calibri" w:hAnsi="Calibri" w:cs="Calibri"/>
        </w:rPr>
        <w:t>, 2006</w:t>
      </w:r>
      <w:r w:rsidR="00D04961">
        <w:rPr>
          <w:rFonts w:ascii="Calibri" w:hAnsi="Calibri" w:cs="Calibri"/>
        </w:rPr>
        <w:t>, and citations therein</w:t>
      </w:r>
      <w:r w:rsidR="00D04961" w:rsidRPr="00D04961">
        <w:rPr>
          <w:rFonts w:ascii="Calibri" w:hAnsi="Calibri" w:cs="Calibri"/>
        </w:rPr>
        <w:t>)</w:t>
      </w:r>
      <w:r w:rsidR="00D04961">
        <w:fldChar w:fldCharType="end"/>
      </w:r>
      <w:r>
        <w:t xml:space="preserve">. However, the biodiversity loss described here presents real concerns for the resilience of this important community, and highlights negative impacts in unmanaged ecosystems thought to be relatively pristine. Most importantly: active management will be needed to maintain ecologically desired species composition in the face of climate change. These active </w:t>
      </w:r>
      <w:r>
        <w:lastRenderedPageBreak/>
        <w:t xml:space="preserve">management decisions will necessitate understanding native species loss through experimental adaptive management of hydro-geomorphological drivers, dispersal networks, and recruitment strategies. </w:t>
      </w:r>
    </w:p>
    <w:p w14:paraId="2329DEA6" w14:textId="1CFAAB2F" w:rsidR="00436FFB" w:rsidRDefault="00436FFB" w:rsidP="00FC700E">
      <w:pPr>
        <w:ind w:firstLine="720"/>
      </w:pPr>
      <w:r>
        <w:t>These findings yet again confirm that contemporary “reference” sites are not sufficient benchmarks for restoration success</w:t>
      </w:r>
      <w:r w:rsidR="00E927D5">
        <w:rPr>
          <w:rFonts w:ascii="Calibri" w:hAnsi="Calibri" w:cs="Calibri"/>
        </w:rPr>
        <w:t xml:space="preserve"> </w:t>
      </w:r>
      <w:r w:rsidR="00E927D5">
        <w:rPr>
          <w:rFonts w:ascii="Calibri" w:hAnsi="Calibri" w:cs="Calibri"/>
        </w:rPr>
        <w:fldChar w:fldCharType="begin"/>
      </w:r>
      <w:r w:rsidR="000D57FF">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E927D5">
        <w:rPr>
          <w:rFonts w:ascii="Calibri" w:hAnsi="Calibri" w:cs="Calibri"/>
        </w:rPr>
        <w:fldChar w:fldCharType="separate"/>
      </w:r>
      <w:r w:rsidR="00D41379" w:rsidRPr="00D41379">
        <w:rPr>
          <w:rFonts w:ascii="Calibri" w:hAnsi="Calibri" w:cs="Calibri"/>
        </w:rPr>
        <w:t xml:space="preserve">(Shackelford, </w:t>
      </w:r>
      <w:r w:rsidR="00D41379">
        <w:rPr>
          <w:rFonts w:ascii="Calibri" w:hAnsi="Calibri" w:cs="Calibri"/>
        </w:rPr>
        <w:t>et al.</w:t>
      </w:r>
      <w:r w:rsidR="00D41379" w:rsidRPr="00D41379">
        <w:rPr>
          <w:rFonts w:ascii="Calibri" w:hAnsi="Calibri" w:cs="Calibri"/>
        </w:rPr>
        <w:t>, 2021)</w:t>
      </w:r>
      <w:r w:rsidR="00E927D5">
        <w:rPr>
          <w:rFonts w:ascii="Calibri" w:hAnsi="Calibri" w:cs="Calibri"/>
        </w:rPr>
        <w:fldChar w:fldCharType="end"/>
      </w:r>
      <w:r>
        <w:t xml:space="preserve">. Despite Ladner Marsh’s status as a protected wetland and legacy of little anthropogenic disturbance, its plant community is succumbing to cumulative pressures that reduce its quality as a reference condition. Therefore, as land managers consider restoration outcomes resilient to climate change in coastal wetlands, they must necessarily look beyond contemporary remnants of historic ecosystems to design models and functional ecological targets. </w:t>
      </w:r>
    </w:p>
    <w:p w14:paraId="184F40C0" w14:textId="77777777" w:rsidR="00436FFB" w:rsidRPr="009860B6" w:rsidRDefault="00436FFB" w:rsidP="00436FFB">
      <w:pPr>
        <w:pStyle w:val="Heading2"/>
      </w:pPr>
      <w:r>
        <w:t>R</w:t>
      </w:r>
      <w:r w:rsidRPr="009860B6">
        <w:t xml:space="preserve">ecommendations </w:t>
      </w:r>
    </w:p>
    <w:p w14:paraId="3373D34D" w14:textId="77777777" w:rsidR="00436FFB" w:rsidRDefault="00436FFB" w:rsidP="00FC700E">
      <w:pPr>
        <w:ind w:firstLine="720"/>
      </w:pPr>
      <w:r>
        <w:t xml:space="preserve">If we are to prioritize conservation of functional coastal wetlands that include a significant representation of native species, we must seek new ways to actively manage habitats such as Ladner Marsh through mechanical control of invasive species (e.g., stands of reed canary grass), combined with experimental management practices using sediment application and/or native species planting to enhance ecosystem processes within remnant marsh habitats. </w:t>
      </w:r>
    </w:p>
    <w:p w14:paraId="7D7E0ABC" w14:textId="3FD61FCD" w:rsidR="00436FFB" w:rsidRDefault="00436FFB" w:rsidP="00FC700E">
      <w:pPr>
        <w:ind w:firstLine="720"/>
      </w:pPr>
      <w:r>
        <w:t>This active management process also presents a timely and necessary opportunity to engage with First Nations to revive traditional management practices</w:t>
      </w:r>
      <w:r w:rsidR="00364A1D">
        <w:t>, such as</w:t>
      </w:r>
      <w:r w:rsidR="00A1679A">
        <w:t xml:space="preserve"> select mechanical disturbance </w:t>
      </w:r>
      <w:r w:rsidR="00A1679A">
        <w:fldChar w:fldCharType="begin"/>
      </w:r>
      <w:r w:rsidR="00A1679A">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A1679A">
        <w:fldChar w:fldCharType="separate"/>
      </w:r>
      <w:r w:rsidR="00A1679A" w:rsidRPr="00A1679A">
        <w:rPr>
          <w:rFonts w:ascii="Calibri" w:hAnsi="Calibri" w:cs="Calibri"/>
        </w:rPr>
        <w:t>(Turner, 2014)</w:t>
      </w:r>
      <w:r w:rsidR="00A1679A">
        <w:fldChar w:fldCharType="end"/>
      </w:r>
      <w:r>
        <w:t xml:space="preserve">: working with traditional knowledge holders may yield deeper understanding of plant community function and habitat stability, which would enhance ecosystem resilience and potentially lead to positive effects on salmonid populations while contributing to reconciliation between Indigenous and colonial cultures. </w:t>
      </w:r>
    </w:p>
    <w:p w14:paraId="676EBF5D" w14:textId="77777777" w:rsidR="00436FFB" w:rsidRDefault="00436FFB" w:rsidP="00436FFB">
      <w:pPr>
        <w:ind w:left="1440"/>
      </w:pPr>
    </w:p>
    <w:p w14:paraId="1EB0305F" w14:textId="77777777" w:rsidR="00436FFB" w:rsidRDefault="00436FFB" w:rsidP="00436FFB"/>
    <w:p w14:paraId="1B1A78AB" w14:textId="77777777" w:rsidR="00436FFB" w:rsidRPr="00436FFB" w:rsidRDefault="00436FFB" w:rsidP="00436FFB"/>
    <w:p w14:paraId="15780FA7" w14:textId="22348D1C" w:rsidR="00C71566" w:rsidRDefault="00C71566" w:rsidP="00C71566">
      <w:pPr>
        <w:pStyle w:val="Heading1"/>
      </w:pPr>
      <w:r>
        <w:t>Acknowledgements</w:t>
      </w:r>
    </w:p>
    <w:p w14:paraId="033C2949" w14:textId="1DA6702A" w:rsidR="00340BB0" w:rsidRDefault="00C71566" w:rsidP="00FC700E">
      <w:pPr>
        <w:ind w:firstLine="720"/>
      </w:pPr>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t>
      </w:r>
      <w:r w:rsidR="007F2C68">
        <w:t>canoe</w:t>
      </w:r>
      <w:r w:rsidR="007641CD">
        <w:t xml:space="preserve"> and </w:t>
      </w:r>
      <w:proofErr w:type="spellStart"/>
      <w:r w:rsidR="007641CD">
        <w:t>harbour</w:t>
      </w:r>
      <w:proofErr w:type="spellEnd"/>
      <w:r w:rsidRPr="00853903">
        <w:t xml:space="preserve"> </w:t>
      </w:r>
      <w:r>
        <w:t>use</w:t>
      </w:r>
      <w:r w:rsidRPr="00853903">
        <w:t>.</w:t>
      </w:r>
      <w:r>
        <w:t xml:space="preserve"> </w:t>
      </w:r>
      <w:r w:rsidR="008E5A8C">
        <w:t xml:space="preserve">Financial </w:t>
      </w:r>
      <w:r w:rsidR="008E5A8C">
        <w:rPr>
          <w:rFonts w:cstheme="minorHAnsi"/>
        </w:rPr>
        <w:t>s</w:t>
      </w:r>
      <w:r w:rsidRPr="009454D9">
        <w:rPr>
          <w:rFonts w:cstheme="minorHAnsi"/>
        </w:rPr>
        <w:t xml:space="preserve">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w:t>
      </w:r>
      <w:r w:rsidR="00CF0E11">
        <w:rPr>
          <w:rFonts w:cstheme="minorHAnsi"/>
        </w:rPr>
        <w:t xml:space="preserve">site </w:t>
      </w:r>
      <w:r w:rsidRPr="009454D9">
        <w:rPr>
          <w:rFonts w:cstheme="minorHAnsi"/>
        </w:rPr>
        <w:t xml:space="preserve">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6E26CAB3" w14:textId="77777777" w:rsidR="00A1679A" w:rsidRPr="00A1679A" w:rsidRDefault="00E8167E" w:rsidP="00A1679A">
      <w:pPr>
        <w:pStyle w:val="Bibliography"/>
        <w:rPr>
          <w:rFonts w:ascii="Calibri" w:hAnsi="Calibri" w:cs="Calibri"/>
        </w:rPr>
      </w:pPr>
      <w:r>
        <w:rPr>
          <w:rFonts w:ascii="Calibri" w:hAnsi="Calibri" w:cs="Calibri"/>
        </w:rPr>
        <w:fldChar w:fldCharType="begin"/>
      </w:r>
      <w:r w:rsidR="000D57FF">
        <w:rPr>
          <w:rFonts w:ascii="Calibri" w:hAnsi="Calibri" w:cs="Calibri"/>
        </w:rPr>
        <w:instrText xml:space="preserve"> ADDIN ZOTERO_BIBL {"uncited":[],"omitted":[],"custom":[]} CSL_BIBLIOGRAPHY </w:instrText>
      </w:r>
      <w:r>
        <w:rPr>
          <w:rFonts w:ascii="Calibri" w:hAnsi="Calibri" w:cs="Calibri"/>
        </w:rPr>
        <w:fldChar w:fldCharType="separate"/>
      </w:r>
      <w:r w:rsidR="00A1679A" w:rsidRPr="00A1679A">
        <w:rPr>
          <w:rFonts w:ascii="Calibri" w:hAnsi="Calibri" w:cs="Calibri"/>
        </w:rPr>
        <w:t xml:space="preserve">Apfelbaum, S. I., &amp; Sams, C. E. (1987). Ecology and Control of Reed Canary Grass (Phalaris arundinacea L.). </w:t>
      </w:r>
      <w:r w:rsidR="00A1679A" w:rsidRPr="00A1679A">
        <w:rPr>
          <w:rFonts w:ascii="Calibri" w:hAnsi="Calibri" w:cs="Calibri"/>
          <w:i/>
          <w:iCs/>
        </w:rPr>
        <w:t>Natural Areas Journal</w:t>
      </w:r>
      <w:r w:rsidR="00A1679A" w:rsidRPr="00A1679A">
        <w:rPr>
          <w:rFonts w:ascii="Calibri" w:hAnsi="Calibri" w:cs="Calibri"/>
        </w:rPr>
        <w:t xml:space="preserve">, </w:t>
      </w:r>
      <w:r w:rsidR="00A1679A" w:rsidRPr="00A1679A">
        <w:rPr>
          <w:rFonts w:ascii="Calibri" w:hAnsi="Calibri" w:cs="Calibri"/>
          <w:i/>
          <w:iCs/>
        </w:rPr>
        <w:t>7</w:t>
      </w:r>
      <w:r w:rsidR="00A1679A" w:rsidRPr="00A1679A">
        <w:rPr>
          <w:rFonts w:ascii="Calibri" w:hAnsi="Calibri" w:cs="Calibri"/>
        </w:rPr>
        <w:t>, 69–74.</w:t>
      </w:r>
    </w:p>
    <w:p w14:paraId="613B160F" w14:textId="77777777" w:rsidR="00A1679A" w:rsidRPr="00A1679A" w:rsidRDefault="00A1679A" w:rsidP="00A1679A">
      <w:pPr>
        <w:pStyle w:val="Bibliography"/>
        <w:rPr>
          <w:rFonts w:ascii="Calibri" w:hAnsi="Calibri" w:cs="Calibri"/>
        </w:rPr>
      </w:pPr>
      <w:r w:rsidRPr="00A1679A">
        <w:rPr>
          <w:rFonts w:ascii="Calibri" w:hAnsi="Calibri" w:cs="Calibri"/>
        </w:rPr>
        <w:t xml:space="preserve">Atkins, R. J., Tidd, M., &amp; Ruffo, G. (2016). Sturgeon Bank, Fraser River Delta, BC, Canada: 150 Years of Human Influences on Salt Marsh Sedimentation. </w:t>
      </w:r>
      <w:r w:rsidRPr="00A1679A">
        <w:rPr>
          <w:rFonts w:ascii="Calibri" w:hAnsi="Calibri" w:cs="Calibri"/>
          <w:i/>
          <w:iCs/>
        </w:rPr>
        <w:t>Journal of Coastal Research</w:t>
      </w:r>
      <w:r w:rsidRPr="00A1679A">
        <w:rPr>
          <w:rFonts w:ascii="Calibri" w:hAnsi="Calibri" w:cs="Calibri"/>
        </w:rPr>
        <w:t xml:space="preserve">, </w:t>
      </w:r>
      <w:r w:rsidRPr="00A1679A">
        <w:rPr>
          <w:rFonts w:ascii="Calibri" w:hAnsi="Calibri" w:cs="Calibri"/>
          <w:i/>
          <w:iCs/>
        </w:rPr>
        <w:t>SI</w:t>
      </w:r>
      <w:r w:rsidRPr="00A1679A">
        <w:rPr>
          <w:rFonts w:ascii="Calibri" w:hAnsi="Calibri" w:cs="Calibri"/>
        </w:rPr>
        <w:t>, 790–794.</w:t>
      </w:r>
    </w:p>
    <w:p w14:paraId="32CA1FFB" w14:textId="77777777" w:rsidR="00A1679A" w:rsidRPr="00A1679A" w:rsidRDefault="00A1679A" w:rsidP="00A1679A">
      <w:pPr>
        <w:pStyle w:val="Bibliography"/>
        <w:rPr>
          <w:rFonts w:ascii="Calibri" w:hAnsi="Calibri" w:cs="Calibri"/>
        </w:rPr>
      </w:pPr>
      <w:r w:rsidRPr="00A1679A">
        <w:rPr>
          <w:rFonts w:ascii="Calibri" w:hAnsi="Calibri" w:cs="Calibri"/>
        </w:rPr>
        <w:t xml:space="preserve">Bradfield, G. E., &amp; Porter, G. L. (1982). Vegetation structure and diversity components of a Fraser estuary tidal marsh. </w:t>
      </w:r>
      <w:r w:rsidRPr="00A1679A">
        <w:rPr>
          <w:rFonts w:ascii="Calibri" w:hAnsi="Calibri" w:cs="Calibri"/>
          <w:i/>
          <w:iCs/>
        </w:rPr>
        <w:t>Canadian Journal of Botany</w:t>
      </w:r>
      <w:r w:rsidRPr="00A1679A">
        <w:rPr>
          <w:rFonts w:ascii="Calibri" w:hAnsi="Calibri" w:cs="Calibri"/>
        </w:rPr>
        <w:t xml:space="preserve">, </w:t>
      </w:r>
      <w:r w:rsidRPr="00A1679A">
        <w:rPr>
          <w:rFonts w:ascii="Calibri" w:hAnsi="Calibri" w:cs="Calibri"/>
          <w:i/>
          <w:iCs/>
        </w:rPr>
        <w:t>60</w:t>
      </w:r>
      <w:r w:rsidRPr="00A1679A">
        <w:rPr>
          <w:rFonts w:ascii="Calibri" w:hAnsi="Calibri" w:cs="Calibri"/>
        </w:rPr>
        <w:t>, 440–451.</w:t>
      </w:r>
    </w:p>
    <w:p w14:paraId="0F39B48E" w14:textId="77777777" w:rsidR="00A1679A" w:rsidRPr="00A1679A" w:rsidRDefault="00A1679A" w:rsidP="00A1679A">
      <w:pPr>
        <w:pStyle w:val="Bibliography"/>
        <w:rPr>
          <w:rFonts w:ascii="Calibri" w:hAnsi="Calibri" w:cs="Calibri"/>
        </w:rPr>
      </w:pPr>
      <w:r w:rsidRPr="00A1679A">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A1679A">
        <w:rPr>
          <w:rFonts w:ascii="Calibri" w:hAnsi="Calibri" w:cs="Calibri"/>
          <w:i/>
          <w:iCs/>
        </w:rPr>
        <w:t>PLOS ONE</w:t>
      </w:r>
      <w:r w:rsidRPr="00A1679A">
        <w:rPr>
          <w:rFonts w:ascii="Calibri" w:hAnsi="Calibri" w:cs="Calibri"/>
        </w:rPr>
        <w:t xml:space="preserve">, </w:t>
      </w:r>
      <w:r w:rsidRPr="00A1679A">
        <w:rPr>
          <w:rFonts w:ascii="Calibri" w:hAnsi="Calibri" w:cs="Calibri"/>
          <w:i/>
          <w:iCs/>
        </w:rPr>
        <w:t>14</w:t>
      </w:r>
      <w:r w:rsidRPr="00A1679A">
        <w:rPr>
          <w:rFonts w:ascii="Calibri" w:hAnsi="Calibri" w:cs="Calibri"/>
        </w:rPr>
        <w:t>, e0218558.</w:t>
      </w:r>
    </w:p>
    <w:p w14:paraId="33D0734B" w14:textId="77777777" w:rsidR="00A1679A" w:rsidRPr="00A1679A" w:rsidRDefault="00A1679A" w:rsidP="00A1679A">
      <w:pPr>
        <w:pStyle w:val="Bibliography"/>
        <w:rPr>
          <w:rFonts w:ascii="Calibri" w:hAnsi="Calibri" w:cs="Calibri"/>
        </w:rPr>
      </w:pPr>
      <w:r w:rsidRPr="00A1679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1679A">
        <w:rPr>
          <w:rFonts w:ascii="Calibri" w:hAnsi="Calibri" w:cs="Calibri"/>
          <w:i/>
          <w:iCs/>
        </w:rPr>
        <w:t>Marine Ecology Progress Series</w:t>
      </w:r>
      <w:r w:rsidRPr="00A1679A">
        <w:rPr>
          <w:rFonts w:ascii="Calibri" w:hAnsi="Calibri" w:cs="Calibri"/>
        </w:rPr>
        <w:t xml:space="preserve">, </w:t>
      </w:r>
      <w:r w:rsidRPr="00A1679A">
        <w:rPr>
          <w:rFonts w:ascii="Calibri" w:hAnsi="Calibri" w:cs="Calibri"/>
          <w:i/>
          <w:iCs/>
        </w:rPr>
        <w:t>625</w:t>
      </w:r>
      <w:r w:rsidRPr="00A1679A">
        <w:rPr>
          <w:rFonts w:ascii="Calibri" w:hAnsi="Calibri" w:cs="Calibri"/>
        </w:rPr>
        <w:t>, 145–162.</w:t>
      </w:r>
    </w:p>
    <w:p w14:paraId="5EE3D791" w14:textId="77777777" w:rsidR="00A1679A" w:rsidRPr="00A1679A" w:rsidRDefault="00A1679A" w:rsidP="00A1679A">
      <w:pPr>
        <w:pStyle w:val="Bibliography"/>
        <w:rPr>
          <w:rFonts w:ascii="Calibri" w:hAnsi="Calibri" w:cs="Calibri"/>
        </w:rPr>
      </w:pPr>
      <w:r w:rsidRPr="00A1679A">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A1679A">
        <w:rPr>
          <w:rFonts w:ascii="Calibri" w:hAnsi="Calibri" w:cs="Calibri"/>
          <w:i/>
          <w:iCs/>
        </w:rPr>
        <w:t>Global Ecology and Biogeography</w:t>
      </w:r>
      <w:r w:rsidRPr="00A1679A">
        <w:rPr>
          <w:rFonts w:ascii="Calibri" w:hAnsi="Calibri" w:cs="Calibri"/>
        </w:rPr>
        <w:t xml:space="preserve">, </w:t>
      </w:r>
      <w:r w:rsidRPr="00A1679A">
        <w:rPr>
          <w:rFonts w:ascii="Calibri" w:hAnsi="Calibri" w:cs="Calibri"/>
          <w:i/>
          <w:iCs/>
        </w:rPr>
        <w:t>24</w:t>
      </w:r>
      <w:r w:rsidRPr="00A1679A">
        <w:rPr>
          <w:rFonts w:ascii="Calibri" w:hAnsi="Calibri" w:cs="Calibri"/>
        </w:rPr>
        <w:t>, 1363–1376.</w:t>
      </w:r>
    </w:p>
    <w:p w14:paraId="65D1AEEA" w14:textId="77777777" w:rsidR="00A1679A" w:rsidRPr="00A1679A" w:rsidRDefault="00A1679A" w:rsidP="00A1679A">
      <w:pPr>
        <w:pStyle w:val="Bibliography"/>
        <w:rPr>
          <w:rFonts w:ascii="Calibri" w:hAnsi="Calibri" w:cs="Calibri"/>
        </w:rPr>
      </w:pPr>
      <w:r w:rsidRPr="00A1679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1679A">
        <w:rPr>
          <w:rFonts w:ascii="Calibri" w:hAnsi="Calibri" w:cs="Calibri"/>
          <w:i/>
          <w:iCs/>
        </w:rPr>
        <w:t>Estuaries and Coasts</w:t>
      </w:r>
      <w:r w:rsidRPr="00A1679A">
        <w:rPr>
          <w:rFonts w:ascii="Calibri" w:hAnsi="Calibri" w:cs="Calibri"/>
        </w:rPr>
        <w:t>. https://doi.org/10.1007/s12237-021-01003-3</w:t>
      </w:r>
    </w:p>
    <w:p w14:paraId="38302DA9" w14:textId="77777777" w:rsidR="00A1679A" w:rsidRPr="00A1679A" w:rsidRDefault="00A1679A" w:rsidP="00A1679A">
      <w:pPr>
        <w:pStyle w:val="Bibliography"/>
        <w:rPr>
          <w:rFonts w:ascii="Calibri" w:hAnsi="Calibri" w:cs="Calibri"/>
        </w:rPr>
      </w:pPr>
      <w:r w:rsidRPr="00A1679A">
        <w:rPr>
          <w:rFonts w:ascii="Calibri" w:hAnsi="Calibri" w:cs="Calibri"/>
        </w:rPr>
        <w:t xml:space="preserve">De Cáceres, M., &amp; Jansen, F. (2016). </w:t>
      </w:r>
      <w:r w:rsidRPr="00A1679A">
        <w:rPr>
          <w:rFonts w:ascii="Calibri" w:hAnsi="Calibri" w:cs="Calibri"/>
          <w:i/>
          <w:iCs/>
        </w:rPr>
        <w:t>Indicspecies</w:t>
      </w:r>
      <w:r w:rsidRPr="00A1679A">
        <w:rPr>
          <w:rFonts w:ascii="Calibri" w:hAnsi="Calibri" w:cs="Calibri"/>
        </w:rPr>
        <w:t>. Retrieved from http://r.meteo.uni.wroc.pl/web/packages/indicspecies/indicspecies.pdf</w:t>
      </w:r>
    </w:p>
    <w:p w14:paraId="2B548064" w14:textId="77777777" w:rsidR="00A1679A" w:rsidRPr="00A1679A" w:rsidRDefault="00A1679A" w:rsidP="00A1679A">
      <w:pPr>
        <w:pStyle w:val="Bibliography"/>
        <w:rPr>
          <w:rFonts w:ascii="Calibri" w:hAnsi="Calibri" w:cs="Calibri"/>
        </w:rPr>
      </w:pPr>
      <w:r w:rsidRPr="00A1679A">
        <w:rPr>
          <w:rFonts w:ascii="Calibri" w:hAnsi="Calibri" w:cs="Calibri"/>
        </w:rPr>
        <w:t xml:space="preserve">Denoth, M., &amp; Myers, J. H. (2007). Competition between Lythrum salicaria and a rare species: Combining evidence from experiments and long-term monitoring. </w:t>
      </w:r>
      <w:r w:rsidRPr="00A1679A">
        <w:rPr>
          <w:rFonts w:ascii="Calibri" w:hAnsi="Calibri" w:cs="Calibri"/>
          <w:i/>
          <w:iCs/>
        </w:rPr>
        <w:t>Plant Ecology</w:t>
      </w:r>
      <w:r w:rsidRPr="00A1679A">
        <w:rPr>
          <w:rFonts w:ascii="Calibri" w:hAnsi="Calibri" w:cs="Calibri"/>
        </w:rPr>
        <w:t xml:space="preserve">, </w:t>
      </w:r>
      <w:r w:rsidRPr="00A1679A">
        <w:rPr>
          <w:rFonts w:ascii="Calibri" w:hAnsi="Calibri" w:cs="Calibri"/>
          <w:i/>
          <w:iCs/>
        </w:rPr>
        <w:t>191</w:t>
      </w:r>
      <w:r w:rsidRPr="00A1679A">
        <w:rPr>
          <w:rFonts w:ascii="Calibri" w:hAnsi="Calibri" w:cs="Calibri"/>
        </w:rPr>
        <w:t>, 153–161.</w:t>
      </w:r>
    </w:p>
    <w:p w14:paraId="63CE478E" w14:textId="77777777" w:rsidR="00A1679A" w:rsidRPr="00A1679A" w:rsidRDefault="00A1679A" w:rsidP="00A1679A">
      <w:pPr>
        <w:pStyle w:val="Bibliography"/>
        <w:rPr>
          <w:rFonts w:ascii="Calibri" w:hAnsi="Calibri" w:cs="Calibri"/>
        </w:rPr>
      </w:pPr>
      <w:r w:rsidRPr="00A1679A">
        <w:rPr>
          <w:rFonts w:ascii="Calibri" w:hAnsi="Calibri" w:cs="Calibri"/>
        </w:rPr>
        <w:lastRenderedPageBreak/>
        <w:t xml:space="preserve">Donohue, I., Hillebrand, H., Montoya, J. M., Petchey, O. L., Pimm, S. L., Fowler, M. S., … Yang, Q. (2016). Navigating the complexity of ecological stability. </w:t>
      </w:r>
      <w:r w:rsidRPr="00A1679A">
        <w:rPr>
          <w:rFonts w:ascii="Calibri" w:hAnsi="Calibri" w:cs="Calibri"/>
          <w:i/>
          <w:iCs/>
        </w:rPr>
        <w:t>Ecology Letters</w:t>
      </w:r>
      <w:r w:rsidRPr="00A1679A">
        <w:rPr>
          <w:rFonts w:ascii="Calibri" w:hAnsi="Calibri" w:cs="Calibri"/>
        </w:rPr>
        <w:t xml:space="preserve">, </w:t>
      </w:r>
      <w:r w:rsidRPr="00A1679A">
        <w:rPr>
          <w:rFonts w:ascii="Calibri" w:hAnsi="Calibri" w:cs="Calibri"/>
          <w:i/>
          <w:iCs/>
        </w:rPr>
        <w:t>19</w:t>
      </w:r>
      <w:r w:rsidRPr="00A1679A">
        <w:rPr>
          <w:rFonts w:ascii="Calibri" w:hAnsi="Calibri" w:cs="Calibri"/>
        </w:rPr>
        <w:t>, 1172–1185.</w:t>
      </w:r>
    </w:p>
    <w:p w14:paraId="7B9BFA82" w14:textId="77777777" w:rsidR="00A1679A" w:rsidRPr="00A1679A" w:rsidRDefault="00A1679A" w:rsidP="00A1679A">
      <w:pPr>
        <w:pStyle w:val="Bibliography"/>
        <w:rPr>
          <w:rFonts w:ascii="Calibri" w:hAnsi="Calibri" w:cs="Calibri"/>
        </w:rPr>
      </w:pPr>
      <w:r w:rsidRPr="00A1679A">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1679A">
        <w:rPr>
          <w:rFonts w:ascii="Calibri" w:hAnsi="Calibri" w:cs="Calibri"/>
          <w:i/>
          <w:iCs/>
        </w:rPr>
        <w:t>Frontiers in Marine Science</w:t>
      </w:r>
      <w:r w:rsidRPr="00A1679A">
        <w:rPr>
          <w:rFonts w:ascii="Calibri" w:hAnsi="Calibri" w:cs="Calibri"/>
        </w:rPr>
        <w:t xml:space="preserve">, </w:t>
      </w:r>
      <w:r w:rsidRPr="00A1679A">
        <w:rPr>
          <w:rFonts w:ascii="Calibri" w:hAnsi="Calibri" w:cs="Calibri"/>
          <w:i/>
          <w:iCs/>
        </w:rPr>
        <w:t>9</w:t>
      </w:r>
      <w:r w:rsidRPr="00A1679A">
        <w:rPr>
          <w:rFonts w:ascii="Calibri" w:hAnsi="Calibri" w:cs="Calibri"/>
        </w:rPr>
        <w:t>. Retrieved from https://www.frontiersin.org/article/10.3389/fmars.2022.857586</w:t>
      </w:r>
    </w:p>
    <w:p w14:paraId="29E64AF5" w14:textId="77777777" w:rsidR="00A1679A" w:rsidRPr="00A1679A" w:rsidRDefault="00A1679A" w:rsidP="00A1679A">
      <w:pPr>
        <w:pStyle w:val="Bibliography"/>
        <w:rPr>
          <w:rFonts w:ascii="Calibri" w:hAnsi="Calibri" w:cs="Calibri"/>
        </w:rPr>
      </w:pPr>
      <w:r w:rsidRPr="00A1679A">
        <w:rPr>
          <w:rFonts w:ascii="Calibri" w:hAnsi="Calibri" w:cs="Calibri"/>
        </w:rPr>
        <w:t xml:space="preserve">Dufrêne, M., &amp; Legendre, P. (1997). Species Assemblages and Indicator Species:the Need for a Flexible Asymmetrical Approach. </w:t>
      </w:r>
      <w:r w:rsidRPr="00A1679A">
        <w:rPr>
          <w:rFonts w:ascii="Calibri" w:hAnsi="Calibri" w:cs="Calibri"/>
          <w:i/>
          <w:iCs/>
        </w:rPr>
        <w:t>Ecological Monographs</w:t>
      </w:r>
      <w:r w:rsidRPr="00A1679A">
        <w:rPr>
          <w:rFonts w:ascii="Calibri" w:hAnsi="Calibri" w:cs="Calibri"/>
        </w:rPr>
        <w:t xml:space="preserve">, </w:t>
      </w:r>
      <w:r w:rsidRPr="00A1679A">
        <w:rPr>
          <w:rFonts w:ascii="Calibri" w:hAnsi="Calibri" w:cs="Calibri"/>
          <w:i/>
          <w:iCs/>
        </w:rPr>
        <w:t>67</w:t>
      </w:r>
      <w:r w:rsidRPr="00A1679A">
        <w:rPr>
          <w:rFonts w:ascii="Calibri" w:hAnsi="Calibri" w:cs="Calibri"/>
        </w:rPr>
        <w:t>, 345–366.</w:t>
      </w:r>
    </w:p>
    <w:p w14:paraId="02D66B0E" w14:textId="77777777" w:rsidR="00A1679A" w:rsidRPr="00A1679A" w:rsidRDefault="00A1679A" w:rsidP="00A1679A">
      <w:pPr>
        <w:pStyle w:val="Bibliography"/>
        <w:rPr>
          <w:rFonts w:ascii="Calibri" w:hAnsi="Calibri" w:cs="Calibri"/>
        </w:rPr>
      </w:pPr>
      <w:r w:rsidRPr="00A1679A">
        <w:rPr>
          <w:rFonts w:ascii="Calibri" w:hAnsi="Calibri" w:cs="Calibri"/>
        </w:rPr>
        <w:t xml:space="preserve">Emmett, R., Llansó, R., Newton, J., Thom, R., Hornberger, M., Morgan, C., … Fishman, P. (2000). Geographic signatures of North American West Coast estuaries. </w:t>
      </w:r>
      <w:r w:rsidRPr="00A1679A">
        <w:rPr>
          <w:rFonts w:ascii="Calibri" w:hAnsi="Calibri" w:cs="Calibri"/>
          <w:i/>
          <w:iCs/>
        </w:rPr>
        <w:t>Estuaries</w:t>
      </w:r>
      <w:r w:rsidRPr="00A1679A">
        <w:rPr>
          <w:rFonts w:ascii="Calibri" w:hAnsi="Calibri" w:cs="Calibri"/>
        </w:rPr>
        <w:t xml:space="preserve">, </w:t>
      </w:r>
      <w:r w:rsidRPr="00A1679A">
        <w:rPr>
          <w:rFonts w:ascii="Calibri" w:hAnsi="Calibri" w:cs="Calibri"/>
          <w:i/>
          <w:iCs/>
        </w:rPr>
        <w:t>23</w:t>
      </w:r>
      <w:r w:rsidRPr="00A1679A">
        <w:rPr>
          <w:rFonts w:ascii="Calibri" w:hAnsi="Calibri" w:cs="Calibri"/>
        </w:rPr>
        <w:t>, 765–792.</w:t>
      </w:r>
    </w:p>
    <w:p w14:paraId="76D5A796" w14:textId="77777777" w:rsidR="00A1679A" w:rsidRPr="00A1679A" w:rsidRDefault="00A1679A" w:rsidP="00A1679A">
      <w:pPr>
        <w:pStyle w:val="Bibliography"/>
        <w:rPr>
          <w:rFonts w:ascii="Calibri" w:hAnsi="Calibri" w:cs="Calibri"/>
        </w:rPr>
      </w:pPr>
      <w:r w:rsidRPr="00A1679A">
        <w:rPr>
          <w:rFonts w:ascii="Calibri" w:hAnsi="Calibri" w:cs="Calibri"/>
        </w:rPr>
        <w:t xml:space="preserve">Hallett, L. M., Jones, S. K., MacDonald, A. A. M., Jones, M. B., Flynn, D. F. B., Ripplinger, J., … Collins, S. L. (2016). codyn: An r package of community dynamics metrics. </w:t>
      </w:r>
      <w:r w:rsidRPr="00A1679A">
        <w:rPr>
          <w:rFonts w:ascii="Calibri" w:hAnsi="Calibri" w:cs="Calibri"/>
          <w:i/>
          <w:iCs/>
        </w:rPr>
        <w:t>Methods in Ecology and Evolution</w:t>
      </w:r>
      <w:r w:rsidRPr="00A1679A">
        <w:rPr>
          <w:rFonts w:ascii="Calibri" w:hAnsi="Calibri" w:cs="Calibri"/>
        </w:rPr>
        <w:t xml:space="preserve">, </w:t>
      </w:r>
      <w:r w:rsidRPr="00A1679A">
        <w:rPr>
          <w:rFonts w:ascii="Calibri" w:hAnsi="Calibri" w:cs="Calibri"/>
          <w:i/>
          <w:iCs/>
        </w:rPr>
        <w:t>7</w:t>
      </w:r>
      <w:r w:rsidRPr="00A1679A">
        <w:rPr>
          <w:rFonts w:ascii="Calibri" w:hAnsi="Calibri" w:cs="Calibri"/>
        </w:rPr>
        <w:t>, 1146–1151.</w:t>
      </w:r>
    </w:p>
    <w:p w14:paraId="7D8B2BD6" w14:textId="77777777" w:rsidR="00A1679A" w:rsidRPr="00A1679A" w:rsidRDefault="00A1679A" w:rsidP="00A1679A">
      <w:pPr>
        <w:pStyle w:val="Bibliography"/>
        <w:rPr>
          <w:rFonts w:ascii="Calibri" w:hAnsi="Calibri" w:cs="Calibri"/>
        </w:rPr>
      </w:pPr>
      <w:r w:rsidRPr="00A1679A">
        <w:rPr>
          <w:rFonts w:ascii="Calibri" w:hAnsi="Calibri" w:cs="Calibri"/>
        </w:rPr>
        <w:t xml:space="preserve">Hanski, I. (1982). Dynamics of Regional Distribution: The Core and Satellite Species Hypothesis. </w:t>
      </w:r>
      <w:r w:rsidRPr="00A1679A">
        <w:rPr>
          <w:rFonts w:ascii="Calibri" w:hAnsi="Calibri" w:cs="Calibri"/>
          <w:i/>
          <w:iCs/>
        </w:rPr>
        <w:t>Oikos</w:t>
      </w:r>
      <w:r w:rsidRPr="00A1679A">
        <w:rPr>
          <w:rFonts w:ascii="Calibri" w:hAnsi="Calibri" w:cs="Calibri"/>
        </w:rPr>
        <w:t xml:space="preserve">, </w:t>
      </w:r>
      <w:r w:rsidRPr="00A1679A">
        <w:rPr>
          <w:rFonts w:ascii="Calibri" w:hAnsi="Calibri" w:cs="Calibri"/>
          <w:i/>
          <w:iCs/>
        </w:rPr>
        <w:t>38</w:t>
      </w:r>
      <w:r w:rsidRPr="00A1679A">
        <w:rPr>
          <w:rFonts w:ascii="Calibri" w:hAnsi="Calibri" w:cs="Calibri"/>
        </w:rPr>
        <w:t>, 210–221. JSTOR.</w:t>
      </w:r>
    </w:p>
    <w:p w14:paraId="5F1DBBBC" w14:textId="77777777" w:rsidR="00A1679A" w:rsidRPr="00A1679A" w:rsidRDefault="00A1679A" w:rsidP="00A1679A">
      <w:pPr>
        <w:pStyle w:val="Bibliography"/>
        <w:rPr>
          <w:rFonts w:ascii="Calibri" w:hAnsi="Calibri" w:cs="Calibri"/>
        </w:rPr>
      </w:pPr>
      <w:r w:rsidRPr="00A1679A">
        <w:rPr>
          <w:rFonts w:ascii="Calibri" w:hAnsi="Calibri" w:cs="Calibri"/>
        </w:rPr>
        <w:t xml:space="preserve">Hitchcock, C. L., &amp; Cronquist, A. (1973). </w:t>
      </w:r>
      <w:r w:rsidRPr="00A1679A">
        <w:rPr>
          <w:rFonts w:ascii="Calibri" w:hAnsi="Calibri" w:cs="Calibri"/>
          <w:i/>
          <w:iCs/>
        </w:rPr>
        <w:t>Flora of the Pacific Northwest, an illustrated manual</w:t>
      </w:r>
      <w:r w:rsidRPr="00A1679A">
        <w:rPr>
          <w:rFonts w:ascii="Calibri" w:hAnsi="Calibri" w:cs="Calibri"/>
        </w:rPr>
        <w:t>. Seattle and London: University of Washington Press.</w:t>
      </w:r>
    </w:p>
    <w:p w14:paraId="12B7F30A" w14:textId="77777777" w:rsidR="00A1679A" w:rsidRPr="00A1679A" w:rsidRDefault="00A1679A" w:rsidP="00A1679A">
      <w:pPr>
        <w:pStyle w:val="Bibliography"/>
        <w:rPr>
          <w:rFonts w:ascii="Calibri" w:hAnsi="Calibri" w:cs="Calibri"/>
        </w:rPr>
      </w:pPr>
      <w:r w:rsidRPr="00A1679A">
        <w:rPr>
          <w:rFonts w:ascii="Calibri" w:hAnsi="Calibri" w:cs="Calibri"/>
        </w:rPr>
        <w:t xml:space="preserve">Holling, C. S. (1973). Resilience and Stability of Ecological Systems. </w:t>
      </w:r>
      <w:r w:rsidRPr="00A1679A">
        <w:rPr>
          <w:rFonts w:ascii="Calibri" w:hAnsi="Calibri" w:cs="Calibri"/>
          <w:i/>
          <w:iCs/>
        </w:rPr>
        <w:t>Annual Review of Ecology and Systematics</w:t>
      </w:r>
      <w:r w:rsidRPr="00A1679A">
        <w:rPr>
          <w:rFonts w:ascii="Calibri" w:hAnsi="Calibri" w:cs="Calibri"/>
        </w:rPr>
        <w:t xml:space="preserve">, </w:t>
      </w:r>
      <w:r w:rsidRPr="00A1679A">
        <w:rPr>
          <w:rFonts w:ascii="Calibri" w:hAnsi="Calibri" w:cs="Calibri"/>
          <w:i/>
          <w:iCs/>
        </w:rPr>
        <w:t>4</w:t>
      </w:r>
      <w:r w:rsidRPr="00A1679A">
        <w:rPr>
          <w:rFonts w:ascii="Calibri" w:hAnsi="Calibri" w:cs="Calibri"/>
        </w:rPr>
        <w:t>, 1–23.</w:t>
      </w:r>
    </w:p>
    <w:p w14:paraId="35F39502" w14:textId="77777777" w:rsidR="00A1679A" w:rsidRPr="00A1679A" w:rsidRDefault="00A1679A" w:rsidP="00A1679A">
      <w:pPr>
        <w:pStyle w:val="Bibliography"/>
        <w:rPr>
          <w:rFonts w:ascii="Calibri" w:hAnsi="Calibri" w:cs="Calibri"/>
        </w:rPr>
      </w:pPr>
      <w:r w:rsidRPr="00A1679A">
        <w:rPr>
          <w:rFonts w:ascii="Calibri" w:hAnsi="Calibri" w:cs="Calibri"/>
        </w:rPr>
        <w:t xml:space="preserve">Kopecký, M., &amp; Macek, M. (2015). Vegetation resurvey is robust to plot location uncertainty. </w:t>
      </w:r>
      <w:r w:rsidRPr="00A1679A">
        <w:rPr>
          <w:rFonts w:ascii="Calibri" w:hAnsi="Calibri" w:cs="Calibri"/>
          <w:i/>
          <w:iCs/>
        </w:rPr>
        <w:t>Diversity and Distributions</w:t>
      </w:r>
      <w:r w:rsidRPr="00A1679A">
        <w:rPr>
          <w:rFonts w:ascii="Calibri" w:hAnsi="Calibri" w:cs="Calibri"/>
        </w:rPr>
        <w:t xml:space="preserve">, </w:t>
      </w:r>
      <w:r w:rsidRPr="00A1679A">
        <w:rPr>
          <w:rFonts w:ascii="Calibri" w:hAnsi="Calibri" w:cs="Calibri"/>
          <w:i/>
          <w:iCs/>
        </w:rPr>
        <w:t>21</w:t>
      </w:r>
      <w:r w:rsidRPr="00A1679A">
        <w:rPr>
          <w:rFonts w:ascii="Calibri" w:hAnsi="Calibri" w:cs="Calibri"/>
        </w:rPr>
        <w:t>, 322–330.</w:t>
      </w:r>
    </w:p>
    <w:p w14:paraId="5CA8476A" w14:textId="77777777" w:rsidR="00A1679A" w:rsidRPr="00A1679A" w:rsidRDefault="00A1679A" w:rsidP="00A1679A">
      <w:pPr>
        <w:pStyle w:val="Bibliography"/>
        <w:rPr>
          <w:rFonts w:ascii="Calibri" w:hAnsi="Calibri" w:cs="Calibri"/>
        </w:rPr>
      </w:pPr>
      <w:r w:rsidRPr="00A1679A">
        <w:rPr>
          <w:rFonts w:ascii="Calibri" w:hAnsi="Calibri" w:cs="Calibri"/>
        </w:rPr>
        <w:t xml:space="preserve">Lane, S. L. (2022). Using marsh organs to test seed recruitment in tidal freshwater marshes. </w:t>
      </w:r>
      <w:r w:rsidRPr="00A1679A">
        <w:rPr>
          <w:rFonts w:ascii="Calibri" w:hAnsi="Calibri" w:cs="Calibri"/>
          <w:i/>
          <w:iCs/>
        </w:rPr>
        <w:t>Applications in Plant Sciences</w:t>
      </w:r>
      <w:r w:rsidRPr="00A1679A">
        <w:rPr>
          <w:rFonts w:ascii="Calibri" w:hAnsi="Calibri" w:cs="Calibri"/>
        </w:rPr>
        <w:t>, e11474.</w:t>
      </w:r>
    </w:p>
    <w:p w14:paraId="3EC8979B" w14:textId="77777777" w:rsidR="00A1679A" w:rsidRPr="00A1679A" w:rsidRDefault="00A1679A" w:rsidP="00A1679A">
      <w:pPr>
        <w:pStyle w:val="Bibliography"/>
        <w:rPr>
          <w:rFonts w:ascii="Calibri" w:hAnsi="Calibri" w:cs="Calibri"/>
        </w:rPr>
      </w:pPr>
      <w:r w:rsidRPr="00A1679A">
        <w:rPr>
          <w:rFonts w:ascii="Calibri" w:hAnsi="Calibri" w:cs="Calibri"/>
        </w:rPr>
        <w:t xml:space="preserve">Legendre, P., &amp; Legendre, L. (2012). </w:t>
      </w:r>
      <w:r w:rsidRPr="00A1679A">
        <w:rPr>
          <w:rFonts w:ascii="Calibri" w:hAnsi="Calibri" w:cs="Calibri"/>
          <w:i/>
          <w:iCs/>
        </w:rPr>
        <w:t>Numerical Ecology</w:t>
      </w:r>
      <w:r w:rsidRPr="00A1679A">
        <w:rPr>
          <w:rFonts w:ascii="Calibri" w:hAnsi="Calibri" w:cs="Calibri"/>
        </w:rPr>
        <w:t xml:space="preserve"> (3rd ed., Vol. 24). Elsevier.</w:t>
      </w:r>
    </w:p>
    <w:p w14:paraId="306CF6F1" w14:textId="77777777" w:rsidR="00A1679A" w:rsidRPr="00A1679A" w:rsidRDefault="00A1679A" w:rsidP="00A1679A">
      <w:pPr>
        <w:pStyle w:val="Bibliography"/>
        <w:rPr>
          <w:rFonts w:ascii="Calibri" w:hAnsi="Calibri" w:cs="Calibri"/>
        </w:rPr>
      </w:pPr>
      <w:r w:rsidRPr="00A1679A">
        <w:rPr>
          <w:rFonts w:ascii="Calibri" w:hAnsi="Calibri" w:cs="Calibri"/>
        </w:rPr>
        <w:lastRenderedPageBreak/>
        <w:t xml:space="preserve">Lepš, J. (2004). What do the biodiversity experiments tell us about consequences of plant species loss in the real world? </w:t>
      </w:r>
      <w:r w:rsidRPr="00A1679A">
        <w:rPr>
          <w:rFonts w:ascii="Calibri" w:hAnsi="Calibri" w:cs="Calibri"/>
          <w:i/>
          <w:iCs/>
        </w:rPr>
        <w:t>Basic and Applied Ecology</w:t>
      </w:r>
      <w:r w:rsidRPr="00A1679A">
        <w:rPr>
          <w:rFonts w:ascii="Calibri" w:hAnsi="Calibri" w:cs="Calibri"/>
        </w:rPr>
        <w:t xml:space="preserve">, </w:t>
      </w:r>
      <w:r w:rsidRPr="00A1679A">
        <w:rPr>
          <w:rFonts w:ascii="Calibri" w:hAnsi="Calibri" w:cs="Calibri"/>
          <w:i/>
          <w:iCs/>
        </w:rPr>
        <w:t>5</w:t>
      </w:r>
      <w:r w:rsidRPr="00A1679A">
        <w:rPr>
          <w:rFonts w:ascii="Calibri" w:hAnsi="Calibri" w:cs="Calibri"/>
        </w:rPr>
        <w:t>, 529–534.</w:t>
      </w:r>
    </w:p>
    <w:p w14:paraId="5F4A4906" w14:textId="77777777" w:rsidR="00A1679A" w:rsidRPr="00A1679A" w:rsidRDefault="00A1679A" w:rsidP="00A1679A">
      <w:pPr>
        <w:pStyle w:val="Bibliography"/>
        <w:rPr>
          <w:rFonts w:ascii="Calibri" w:hAnsi="Calibri" w:cs="Calibri"/>
        </w:rPr>
      </w:pPr>
      <w:r w:rsidRPr="00A1679A">
        <w:rPr>
          <w:rFonts w:ascii="Calibri" w:hAnsi="Calibri" w:cs="Calibri"/>
        </w:rPr>
        <w:t xml:space="preserve">Marijnissen, R., Kok, M., Kroeze, C., &amp; van Loon-Steensma, J. (2020). The Sensitivity of a Dike-Marsh System to Sea-Level Rise—A Model-Based Exploration. </w:t>
      </w:r>
      <w:r w:rsidRPr="00A1679A">
        <w:rPr>
          <w:rFonts w:ascii="Calibri" w:hAnsi="Calibri" w:cs="Calibri"/>
          <w:i/>
          <w:iCs/>
        </w:rPr>
        <w:t>Journal of Marine Science and Engineering</w:t>
      </w:r>
      <w:r w:rsidRPr="00A1679A">
        <w:rPr>
          <w:rFonts w:ascii="Calibri" w:hAnsi="Calibri" w:cs="Calibri"/>
        </w:rPr>
        <w:t xml:space="preserve">, </w:t>
      </w:r>
      <w:r w:rsidRPr="00A1679A">
        <w:rPr>
          <w:rFonts w:ascii="Calibri" w:hAnsi="Calibri" w:cs="Calibri"/>
          <w:i/>
          <w:iCs/>
        </w:rPr>
        <w:t>8</w:t>
      </w:r>
      <w:r w:rsidRPr="00A1679A">
        <w:rPr>
          <w:rFonts w:ascii="Calibri" w:hAnsi="Calibri" w:cs="Calibri"/>
        </w:rPr>
        <w:t>, 42.</w:t>
      </w:r>
    </w:p>
    <w:p w14:paraId="3FE06457" w14:textId="77777777" w:rsidR="00A1679A" w:rsidRPr="00A1679A" w:rsidRDefault="00A1679A" w:rsidP="00A1679A">
      <w:pPr>
        <w:pStyle w:val="Bibliography"/>
        <w:rPr>
          <w:rFonts w:ascii="Calibri" w:hAnsi="Calibri" w:cs="Calibri"/>
        </w:rPr>
      </w:pPr>
      <w:r w:rsidRPr="00A1679A">
        <w:rPr>
          <w:rFonts w:ascii="Calibri" w:hAnsi="Calibri" w:cs="Calibri"/>
        </w:rPr>
        <w:t xml:space="preserve">Mendelssohn, I. A., &amp; Kuhn, N. L. (2003). Sediment subsidy: Effects on soil–plant responses in a rapidly submerging coastal salt marsh. </w:t>
      </w:r>
      <w:r w:rsidRPr="00A1679A">
        <w:rPr>
          <w:rFonts w:ascii="Calibri" w:hAnsi="Calibri" w:cs="Calibri"/>
          <w:i/>
          <w:iCs/>
        </w:rPr>
        <w:t>Ecological Engineering</w:t>
      </w:r>
      <w:r w:rsidRPr="00A1679A">
        <w:rPr>
          <w:rFonts w:ascii="Calibri" w:hAnsi="Calibri" w:cs="Calibri"/>
        </w:rPr>
        <w:t xml:space="preserve">, </w:t>
      </w:r>
      <w:r w:rsidRPr="00A1679A">
        <w:rPr>
          <w:rFonts w:ascii="Calibri" w:hAnsi="Calibri" w:cs="Calibri"/>
          <w:i/>
          <w:iCs/>
        </w:rPr>
        <w:t>21</w:t>
      </w:r>
      <w:r w:rsidRPr="00A1679A">
        <w:rPr>
          <w:rFonts w:ascii="Calibri" w:hAnsi="Calibri" w:cs="Calibri"/>
        </w:rPr>
        <w:t>, 115–128.</w:t>
      </w:r>
    </w:p>
    <w:p w14:paraId="1E762C6F" w14:textId="77777777" w:rsidR="00A1679A" w:rsidRPr="00A1679A" w:rsidRDefault="00A1679A" w:rsidP="00A1679A">
      <w:pPr>
        <w:pStyle w:val="Bibliography"/>
        <w:rPr>
          <w:rFonts w:ascii="Calibri" w:hAnsi="Calibri" w:cs="Calibri"/>
        </w:rPr>
      </w:pPr>
      <w:r w:rsidRPr="00A1679A">
        <w:rPr>
          <w:rFonts w:ascii="Calibri" w:hAnsi="Calibri" w:cs="Calibri"/>
        </w:rPr>
        <w:t xml:space="preserve">Nyman, J. A., Walters, R. J., Delaune, R. D., &amp; Patrick, W. H. (2006). Marsh vertical accretion via vegetative growth. </w:t>
      </w:r>
      <w:r w:rsidRPr="00A1679A">
        <w:rPr>
          <w:rFonts w:ascii="Calibri" w:hAnsi="Calibri" w:cs="Calibri"/>
          <w:i/>
          <w:iCs/>
        </w:rPr>
        <w:t>Estuarine, Coastal and Shelf Science</w:t>
      </w:r>
      <w:r w:rsidRPr="00A1679A">
        <w:rPr>
          <w:rFonts w:ascii="Calibri" w:hAnsi="Calibri" w:cs="Calibri"/>
        </w:rPr>
        <w:t xml:space="preserve">, </w:t>
      </w:r>
      <w:r w:rsidRPr="00A1679A">
        <w:rPr>
          <w:rFonts w:ascii="Calibri" w:hAnsi="Calibri" w:cs="Calibri"/>
          <w:i/>
          <w:iCs/>
        </w:rPr>
        <w:t>69</w:t>
      </w:r>
      <w:r w:rsidRPr="00A1679A">
        <w:rPr>
          <w:rFonts w:ascii="Calibri" w:hAnsi="Calibri" w:cs="Calibri"/>
        </w:rPr>
        <w:t>, 370–380.</w:t>
      </w:r>
    </w:p>
    <w:p w14:paraId="36935519" w14:textId="77777777" w:rsidR="00A1679A" w:rsidRPr="00A1679A" w:rsidRDefault="00A1679A" w:rsidP="00A1679A">
      <w:pPr>
        <w:pStyle w:val="Bibliography"/>
        <w:rPr>
          <w:rFonts w:ascii="Calibri" w:hAnsi="Calibri" w:cs="Calibri"/>
        </w:rPr>
      </w:pPr>
      <w:r w:rsidRPr="00A1679A">
        <w:rPr>
          <w:rFonts w:ascii="Calibri" w:hAnsi="Calibri" w:cs="Calibri"/>
        </w:rPr>
        <w:t xml:space="preserve">Ovaskainen, O., Rybicki, J., &amp; Abrego, N. (2019). What can observational data reveal about metacommunity processes? </w:t>
      </w:r>
      <w:r w:rsidRPr="00A1679A">
        <w:rPr>
          <w:rFonts w:ascii="Calibri" w:hAnsi="Calibri" w:cs="Calibri"/>
          <w:i/>
          <w:iCs/>
        </w:rPr>
        <w:t>Ecography</w:t>
      </w:r>
      <w:r w:rsidRPr="00A1679A">
        <w:rPr>
          <w:rFonts w:ascii="Calibri" w:hAnsi="Calibri" w:cs="Calibri"/>
        </w:rPr>
        <w:t xml:space="preserve">, </w:t>
      </w:r>
      <w:r w:rsidRPr="00A1679A">
        <w:rPr>
          <w:rFonts w:ascii="Calibri" w:hAnsi="Calibri" w:cs="Calibri"/>
          <w:i/>
          <w:iCs/>
        </w:rPr>
        <w:t>42</w:t>
      </w:r>
      <w:r w:rsidRPr="00A1679A">
        <w:rPr>
          <w:rFonts w:ascii="Calibri" w:hAnsi="Calibri" w:cs="Calibri"/>
        </w:rPr>
        <w:t>, 1877–1886.</w:t>
      </w:r>
    </w:p>
    <w:p w14:paraId="4D347174" w14:textId="77777777" w:rsidR="00A1679A" w:rsidRPr="00A1679A" w:rsidRDefault="00A1679A" w:rsidP="00A1679A">
      <w:pPr>
        <w:pStyle w:val="Bibliography"/>
        <w:rPr>
          <w:rFonts w:ascii="Calibri" w:hAnsi="Calibri" w:cs="Calibri"/>
        </w:rPr>
      </w:pPr>
      <w:r w:rsidRPr="00A1679A">
        <w:rPr>
          <w:rFonts w:ascii="Calibri" w:hAnsi="Calibri" w:cs="Calibri"/>
        </w:rPr>
        <w:t xml:space="preserve">Pasternack, G. B. (2009). Chapter 3. Hydrogeomorphology and sedimentation in tidal freshwater wetlands. In A. Barendregt, D. F. Whigham, &amp; A. H. Baldwin (Eds.), </w:t>
      </w:r>
      <w:r w:rsidRPr="00A1679A">
        <w:rPr>
          <w:rFonts w:ascii="Calibri" w:hAnsi="Calibri" w:cs="Calibri"/>
          <w:i/>
          <w:iCs/>
        </w:rPr>
        <w:t>Tidal Freshwater Wetlands</w:t>
      </w:r>
      <w:r w:rsidRPr="00A1679A">
        <w:rPr>
          <w:rFonts w:ascii="Calibri" w:hAnsi="Calibri" w:cs="Calibri"/>
        </w:rPr>
        <w:t xml:space="preserve"> (pp. 31–40). Leiden, The Netherlands: Backhuys Publishers.</w:t>
      </w:r>
    </w:p>
    <w:p w14:paraId="6FF15304" w14:textId="77777777" w:rsidR="00A1679A" w:rsidRPr="00A1679A" w:rsidRDefault="00A1679A" w:rsidP="00A1679A">
      <w:pPr>
        <w:pStyle w:val="Bibliography"/>
        <w:rPr>
          <w:rFonts w:ascii="Calibri" w:hAnsi="Calibri" w:cs="Calibri"/>
        </w:rPr>
      </w:pPr>
      <w:r w:rsidRPr="00A1679A">
        <w:rPr>
          <w:rFonts w:ascii="Calibri" w:hAnsi="Calibri" w:cs="Calibri"/>
        </w:rPr>
        <w:t xml:space="preserve">Peteet, D. M., Nichols, J., Kenna, T., Chang, C., Browne, J., Reza, M., … Stern-Protz, S. (2018). Sediment starvation destroys New York City marshes’ resistance to sea level rise. </w:t>
      </w:r>
      <w:r w:rsidRPr="00A1679A">
        <w:rPr>
          <w:rFonts w:ascii="Calibri" w:hAnsi="Calibri" w:cs="Calibri"/>
          <w:i/>
          <w:iCs/>
        </w:rPr>
        <w:t>Proceedings of the National Academy of Sciences</w:t>
      </w:r>
      <w:r w:rsidRPr="00A1679A">
        <w:rPr>
          <w:rFonts w:ascii="Calibri" w:hAnsi="Calibri" w:cs="Calibri"/>
        </w:rPr>
        <w:t xml:space="preserve">, </w:t>
      </w:r>
      <w:r w:rsidRPr="00A1679A">
        <w:rPr>
          <w:rFonts w:ascii="Calibri" w:hAnsi="Calibri" w:cs="Calibri"/>
          <w:i/>
          <w:iCs/>
        </w:rPr>
        <w:t>115</w:t>
      </w:r>
      <w:r w:rsidRPr="00A1679A">
        <w:rPr>
          <w:rFonts w:ascii="Calibri" w:hAnsi="Calibri" w:cs="Calibri"/>
        </w:rPr>
        <w:t>, 10281–10286.</w:t>
      </w:r>
    </w:p>
    <w:p w14:paraId="180AC587" w14:textId="77777777" w:rsidR="00A1679A" w:rsidRPr="00A1679A" w:rsidRDefault="00A1679A" w:rsidP="00A1679A">
      <w:pPr>
        <w:pStyle w:val="Bibliography"/>
        <w:rPr>
          <w:rFonts w:ascii="Calibri" w:hAnsi="Calibri" w:cs="Calibri"/>
        </w:rPr>
      </w:pPr>
      <w:r w:rsidRPr="00A1679A">
        <w:rPr>
          <w:rFonts w:ascii="Calibri" w:hAnsi="Calibri" w:cs="Calibri"/>
        </w:rPr>
        <w:t xml:space="preserve">Schaefer, V. (2004). Ecological setting of the Fraser River delta and its urban estuary. In B. J. Groulx, D. C. Mosher, J. L. Luternauer, &amp; D. E. Bilderback (Eds.), </w:t>
      </w:r>
      <w:r w:rsidRPr="00A1679A">
        <w:rPr>
          <w:rFonts w:ascii="Calibri" w:hAnsi="Calibri" w:cs="Calibri"/>
          <w:i/>
          <w:iCs/>
        </w:rPr>
        <w:t>Fraser River Delta, British Columbia: Issues of an Urban Estuary</w:t>
      </w:r>
      <w:r w:rsidRPr="00A1679A">
        <w:rPr>
          <w:rFonts w:ascii="Calibri" w:hAnsi="Calibri" w:cs="Calibri"/>
        </w:rPr>
        <w:t xml:space="preserve"> (pp. 147–172). Geological Survey of Canada, Bulletin 547.</w:t>
      </w:r>
    </w:p>
    <w:p w14:paraId="7048964B" w14:textId="77777777" w:rsidR="00A1679A" w:rsidRPr="00A1679A" w:rsidRDefault="00A1679A" w:rsidP="00A1679A">
      <w:pPr>
        <w:pStyle w:val="Bibliography"/>
        <w:rPr>
          <w:rFonts w:ascii="Calibri" w:hAnsi="Calibri" w:cs="Calibri"/>
        </w:rPr>
      </w:pPr>
      <w:r w:rsidRPr="00A1679A">
        <w:rPr>
          <w:rFonts w:ascii="Calibri" w:hAnsi="Calibri" w:cs="Calibri"/>
        </w:rPr>
        <w:t xml:space="preserve">Shackelford, N., Dudney, J., Stueber, M. M., Temperton, V. M., &amp; Suding, K. L. (2021). Measuring at all scales: Sourcing data for more flexible restoration references. </w:t>
      </w:r>
      <w:r w:rsidRPr="00A1679A">
        <w:rPr>
          <w:rFonts w:ascii="Calibri" w:hAnsi="Calibri" w:cs="Calibri"/>
          <w:i/>
          <w:iCs/>
        </w:rPr>
        <w:t>Restoration Ecology</w:t>
      </w:r>
      <w:r w:rsidRPr="00A1679A">
        <w:rPr>
          <w:rFonts w:ascii="Calibri" w:hAnsi="Calibri" w:cs="Calibri"/>
        </w:rPr>
        <w:t xml:space="preserve">, </w:t>
      </w:r>
      <w:r w:rsidRPr="00A1679A">
        <w:rPr>
          <w:rFonts w:ascii="Calibri" w:hAnsi="Calibri" w:cs="Calibri"/>
          <w:i/>
          <w:iCs/>
        </w:rPr>
        <w:t>n/a</w:t>
      </w:r>
      <w:r w:rsidRPr="00A1679A">
        <w:rPr>
          <w:rFonts w:ascii="Calibri" w:hAnsi="Calibri" w:cs="Calibri"/>
        </w:rPr>
        <w:t>, e13541.</w:t>
      </w:r>
    </w:p>
    <w:p w14:paraId="2BBABBAD" w14:textId="77777777" w:rsidR="00A1679A" w:rsidRPr="00A1679A" w:rsidRDefault="00A1679A" w:rsidP="00A1679A">
      <w:pPr>
        <w:pStyle w:val="Bibliography"/>
        <w:rPr>
          <w:rFonts w:ascii="Calibri" w:hAnsi="Calibri" w:cs="Calibri"/>
        </w:rPr>
      </w:pPr>
      <w:r w:rsidRPr="00A1679A">
        <w:rPr>
          <w:rFonts w:ascii="Calibri" w:hAnsi="Calibri" w:cs="Calibri"/>
        </w:rPr>
        <w:t xml:space="preserve">Shi, W., Shao, D., Gualtieri, C., Purnama, A., &amp; Cui, B. (2020). Modelling long-distance floating seed dispersal in salt marsh tidal channels. </w:t>
      </w:r>
      <w:r w:rsidRPr="00A1679A">
        <w:rPr>
          <w:rFonts w:ascii="Calibri" w:hAnsi="Calibri" w:cs="Calibri"/>
          <w:i/>
          <w:iCs/>
        </w:rPr>
        <w:t>Ecohydrology</w:t>
      </w:r>
      <w:r w:rsidRPr="00A1679A">
        <w:rPr>
          <w:rFonts w:ascii="Calibri" w:hAnsi="Calibri" w:cs="Calibri"/>
        </w:rPr>
        <w:t xml:space="preserve">, </w:t>
      </w:r>
      <w:r w:rsidRPr="00A1679A">
        <w:rPr>
          <w:rFonts w:ascii="Calibri" w:hAnsi="Calibri" w:cs="Calibri"/>
          <w:i/>
          <w:iCs/>
        </w:rPr>
        <w:t>13</w:t>
      </w:r>
      <w:r w:rsidRPr="00A1679A">
        <w:rPr>
          <w:rFonts w:ascii="Calibri" w:hAnsi="Calibri" w:cs="Calibri"/>
        </w:rPr>
        <w:t>, e2157.</w:t>
      </w:r>
    </w:p>
    <w:p w14:paraId="35BE9C36" w14:textId="77777777" w:rsidR="00A1679A" w:rsidRPr="00A1679A" w:rsidRDefault="00A1679A" w:rsidP="00A1679A">
      <w:pPr>
        <w:pStyle w:val="Bibliography"/>
        <w:rPr>
          <w:rFonts w:ascii="Calibri" w:hAnsi="Calibri" w:cs="Calibri"/>
        </w:rPr>
      </w:pPr>
      <w:r w:rsidRPr="00A1679A">
        <w:rPr>
          <w:rFonts w:ascii="Calibri" w:hAnsi="Calibri" w:cs="Calibri"/>
        </w:rPr>
        <w:lastRenderedPageBreak/>
        <w:t xml:space="preserve">Sinks, I. A., Borde, A. B., Diefenderfer, H. L., &amp; Karnezis, J. P. (2021). Assessment of Methods to Control Invasive Reed Canarygrass (Phalaris arundinacea) in Tidal Freshwater Wetlands. </w:t>
      </w:r>
      <w:r w:rsidRPr="00A1679A">
        <w:rPr>
          <w:rFonts w:ascii="Calibri" w:hAnsi="Calibri" w:cs="Calibri"/>
          <w:i/>
          <w:iCs/>
        </w:rPr>
        <w:t>Natural Areas Journal</w:t>
      </w:r>
      <w:r w:rsidRPr="00A1679A">
        <w:rPr>
          <w:rFonts w:ascii="Calibri" w:hAnsi="Calibri" w:cs="Calibri"/>
        </w:rPr>
        <w:t xml:space="preserve">, </w:t>
      </w:r>
      <w:r w:rsidRPr="00A1679A">
        <w:rPr>
          <w:rFonts w:ascii="Calibri" w:hAnsi="Calibri" w:cs="Calibri"/>
          <w:i/>
          <w:iCs/>
        </w:rPr>
        <w:t>41</w:t>
      </w:r>
      <w:r w:rsidRPr="00A1679A">
        <w:rPr>
          <w:rFonts w:ascii="Calibri" w:hAnsi="Calibri" w:cs="Calibri"/>
        </w:rPr>
        <w:t>, 172–185.</w:t>
      </w:r>
    </w:p>
    <w:p w14:paraId="6C7B9E94" w14:textId="77777777" w:rsidR="00A1679A" w:rsidRPr="00A1679A" w:rsidRDefault="00A1679A" w:rsidP="00A1679A">
      <w:pPr>
        <w:pStyle w:val="Bibliography"/>
        <w:rPr>
          <w:rFonts w:ascii="Calibri" w:hAnsi="Calibri" w:cs="Calibri"/>
        </w:rPr>
      </w:pPr>
      <w:r w:rsidRPr="00A1679A">
        <w:rPr>
          <w:rFonts w:ascii="Calibri" w:hAnsi="Calibri" w:cs="Calibri"/>
        </w:rPr>
        <w:t xml:space="preserve">Stoddard, J. L., Larsen, D. P., Hawkins, C. P., Johnson, R. K., &amp; Norris, R. H. (2006). Setting Expectations for the Ecological Condition of Streams: The Concept of Reference Condition. </w:t>
      </w:r>
      <w:r w:rsidRPr="00A1679A">
        <w:rPr>
          <w:rFonts w:ascii="Calibri" w:hAnsi="Calibri" w:cs="Calibri"/>
          <w:i/>
          <w:iCs/>
        </w:rPr>
        <w:t>Ecological Applications</w:t>
      </w:r>
      <w:r w:rsidRPr="00A1679A">
        <w:rPr>
          <w:rFonts w:ascii="Calibri" w:hAnsi="Calibri" w:cs="Calibri"/>
        </w:rPr>
        <w:t xml:space="preserve">, </w:t>
      </w:r>
      <w:r w:rsidRPr="00A1679A">
        <w:rPr>
          <w:rFonts w:ascii="Calibri" w:hAnsi="Calibri" w:cs="Calibri"/>
          <w:i/>
          <w:iCs/>
        </w:rPr>
        <w:t>16</w:t>
      </w:r>
      <w:r w:rsidRPr="00A1679A">
        <w:rPr>
          <w:rFonts w:ascii="Calibri" w:hAnsi="Calibri" w:cs="Calibri"/>
        </w:rPr>
        <w:t>, 1267–1276.</w:t>
      </w:r>
    </w:p>
    <w:p w14:paraId="5D7F813C" w14:textId="77777777" w:rsidR="00A1679A" w:rsidRPr="00A1679A" w:rsidRDefault="00A1679A" w:rsidP="00A1679A">
      <w:pPr>
        <w:pStyle w:val="Bibliography"/>
        <w:rPr>
          <w:rFonts w:ascii="Calibri" w:hAnsi="Calibri" w:cs="Calibri"/>
        </w:rPr>
      </w:pPr>
      <w:r w:rsidRPr="00A1679A">
        <w:rPr>
          <w:rFonts w:ascii="Calibri" w:hAnsi="Calibri" w:cs="Calibri"/>
        </w:rPr>
        <w:t xml:space="preserve">Turner, N. (2014). </w:t>
      </w:r>
      <w:r w:rsidRPr="00A1679A">
        <w:rPr>
          <w:rFonts w:ascii="Calibri" w:hAnsi="Calibri" w:cs="Calibri"/>
          <w:i/>
          <w:iCs/>
        </w:rPr>
        <w:t>Ancient Pathways, Ancestral Knowledge: Ethnobotany and Ecological Wisdom of Indigenous Peoples of Northwestern North America</w:t>
      </w:r>
      <w:r w:rsidRPr="00A1679A">
        <w:rPr>
          <w:rFonts w:ascii="Calibri" w:hAnsi="Calibri" w:cs="Calibri"/>
        </w:rPr>
        <w:t>. McGill-Queen’s Press - MQUP.</w:t>
      </w:r>
    </w:p>
    <w:p w14:paraId="7F8DC32B" w14:textId="77777777" w:rsidR="00A1679A" w:rsidRPr="00A1679A" w:rsidRDefault="00A1679A" w:rsidP="00A1679A">
      <w:pPr>
        <w:pStyle w:val="Bibliography"/>
        <w:rPr>
          <w:rFonts w:ascii="Calibri" w:hAnsi="Calibri" w:cs="Calibri"/>
        </w:rPr>
      </w:pPr>
      <w:r w:rsidRPr="00A1679A">
        <w:rPr>
          <w:rFonts w:ascii="Calibri" w:hAnsi="Calibri" w:cs="Calibri"/>
        </w:rPr>
        <w:t xml:space="preserve">Underwood, A. J., Chapman, M. G., &amp; Connell, S. D. (2000). Observations in ecology: You can’t make progress on processes without understanding the patterns. </w:t>
      </w:r>
      <w:r w:rsidRPr="00A1679A">
        <w:rPr>
          <w:rFonts w:ascii="Calibri" w:hAnsi="Calibri" w:cs="Calibri"/>
          <w:i/>
          <w:iCs/>
        </w:rPr>
        <w:t>Journal of Experimental Marine Biology and Ecology</w:t>
      </w:r>
      <w:r w:rsidRPr="00A1679A">
        <w:rPr>
          <w:rFonts w:ascii="Calibri" w:hAnsi="Calibri" w:cs="Calibri"/>
        </w:rPr>
        <w:t xml:space="preserve">, </w:t>
      </w:r>
      <w:r w:rsidRPr="00A1679A">
        <w:rPr>
          <w:rFonts w:ascii="Calibri" w:hAnsi="Calibri" w:cs="Calibri"/>
          <w:i/>
          <w:iCs/>
        </w:rPr>
        <w:t>250</w:t>
      </w:r>
      <w:r w:rsidRPr="00A1679A">
        <w:rPr>
          <w:rFonts w:ascii="Calibri" w:hAnsi="Calibri" w:cs="Calibri"/>
        </w:rPr>
        <w:t>, 97–115.</w:t>
      </w:r>
    </w:p>
    <w:p w14:paraId="7C8549CB" w14:textId="77777777" w:rsidR="00A1679A" w:rsidRPr="00A1679A" w:rsidRDefault="00A1679A" w:rsidP="00A1679A">
      <w:pPr>
        <w:pStyle w:val="Bibliography"/>
        <w:rPr>
          <w:rFonts w:ascii="Calibri" w:hAnsi="Calibri" w:cs="Calibri"/>
        </w:rPr>
      </w:pPr>
      <w:r w:rsidRPr="00A1679A">
        <w:rPr>
          <w:rFonts w:ascii="Calibri" w:hAnsi="Calibri" w:cs="Calibri"/>
        </w:rPr>
        <w:t xml:space="preserve">Whittaker, R. H. (1975). </w:t>
      </w:r>
      <w:r w:rsidRPr="00A1679A">
        <w:rPr>
          <w:rFonts w:ascii="Calibri" w:hAnsi="Calibri" w:cs="Calibri"/>
          <w:i/>
          <w:iCs/>
        </w:rPr>
        <w:t>Communities and Ecosystems</w:t>
      </w:r>
      <w:r w:rsidRPr="00A1679A">
        <w:rPr>
          <w:rFonts w:ascii="Calibri" w:hAnsi="Calibri" w:cs="Calibri"/>
        </w:rPr>
        <w:t xml:space="preserve"> (2nd ed.). New York, NY: Macmillan.</w:t>
      </w:r>
    </w:p>
    <w:p w14:paraId="1CE4119A" w14:textId="0F3EE23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BB0CF54" w:rsidR="0038192E" w:rsidRDefault="0038192E" w:rsidP="0038192E">
      <w:pPr>
        <w:pStyle w:val="Caption"/>
      </w:pPr>
      <w:bookmarkStart w:id="26" w:name="_Ref103763315"/>
      <w:r>
        <w:t xml:space="preserve">Table </w:t>
      </w:r>
      <w:r w:rsidR="00483733">
        <w:fldChar w:fldCharType="begin"/>
      </w:r>
      <w:r w:rsidR="00483733">
        <w:instrText xml:space="preserve"> SEQ Table \* ARABIC </w:instrText>
      </w:r>
      <w:r w:rsidR="00483733">
        <w:fldChar w:fldCharType="separate"/>
      </w:r>
      <w:r w:rsidR="00615FBC">
        <w:rPr>
          <w:noProof/>
        </w:rPr>
        <w:t>3</w:t>
      </w:r>
      <w:r w:rsidR="00483733">
        <w:rPr>
          <w:noProof/>
        </w:rPr>
        <w:fldChar w:fldCharType="end"/>
      </w:r>
      <w:bookmarkEnd w:id="26"/>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27"/>
      <w:commentRangeEnd w:id="27"/>
      <w:r>
        <w:rPr>
          <w:rStyle w:val="CommentReference"/>
        </w:rPr>
        <w:commentReference w:id="27"/>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28" w:name="_Ref103856212"/>
    </w:p>
    <w:p w14:paraId="696A8E3B" w14:textId="4097B52F" w:rsidR="00377AD3" w:rsidRDefault="00BC0673" w:rsidP="00F752B9">
      <w:pPr>
        <w:rPr>
          <w:i/>
          <w:iCs/>
          <w:color w:val="44546A" w:themeColor="text2"/>
          <w:sz w:val="18"/>
          <w:szCs w:val="18"/>
        </w:rPr>
      </w:pPr>
      <w:bookmarkStart w:id="29" w:name="_Ref104818673"/>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615FBC">
        <w:rPr>
          <w:i/>
          <w:iCs/>
          <w:noProof/>
          <w:color w:val="44546A" w:themeColor="text2"/>
          <w:sz w:val="18"/>
          <w:szCs w:val="18"/>
        </w:rPr>
        <w:t>4</w:t>
      </w:r>
      <w:r w:rsidR="00F507C0" w:rsidRPr="00DC704D">
        <w:rPr>
          <w:i/>
          <w:iCs/>
          <w:color w:val="44546A" w:themeColor="text2"/>
          <w:sz w:val="18"/>
          <w:szCs w:val="18"/>
        </w:rPr>
        <w:fldChar w:fldCharType="end"/>
      </w:r>
      <w:bookmarkEnd w:id="28"/>
      <w:bookmarkEnd w:id="29"/>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r w:rsidR="00CB72B2" w:rsidRPr="00DC704D">
        <w:rPr>
          <w:i/>
          <w:iCs/>
          <w:color w:val="44546A" w:themeColor="text2"/>
          <w:sz w:val="18"/>
          <w:szCs w:val="18"/>
        </w:rPr>
        <w:t xml:space="preserve"> </w:t>
      </w:r>
      <w:r w:rsidR="00F41B59" w:rsidRPr="00DC704D">
        <w:rPr>
          <w:i/>
          <w:iCs/>
          <w:color w:val="44546A" w:themeColor="text2"/>
          <w:sz w:val="18"/>
          <w:szCs w:val="18"/>
        </w:rPr>
        <w:t>(</w:t>
      </w:r>
      <w:r w:rsidR="00615FBC" w:rsidRPr="00615FBC">
        <w:rPr>
          <w:i/>
          <w:iCs/>
          <w:color w:val="44546A" w:themeColor="text2"/>
          <w:sz w:val="18"/>
          <w:szCs w:val="18"/>
        </w:rPr>
        <w:t>Table 1</w:t>
      </w:r>
      <w:r w:rsidR="00615FBC">
        <w:rPr>
          <w:b/>
          <w:bCs/>
          <w:i/>
          <w:iCs/>
          <w:color w:val="44546A" w:themeColor="text2"/>
          <w:sz w:val="18"/>
          <w:szCs w:val="18"/>
        </w:rPr>
        <w:t>Error! Reference source not found.</w:t>
      </w:r>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6B2D06A6" w:rsidR="00811F80" w:rsidRDefault="00811F80" w:rsidP="00811F80">
      <w:pPr>
        <w:pStyle w:val="Caption"/>
      </w:pPr>
      <w:bookmarkStart w:id="30" w:name="_Ref103857626"/>
      <w:r>
        <w:t xml:space="preserve">Figure </w:t>
      </w:r>
      <w:r w:rsidR="00483733">
        <w:fldChar w:fldCharType="begin"/>
      </w:r>
      <w:r w:rsidR="00483733">
        <w:instrText xml:space="preserve"> SEQ Figure \* ARABIC </w:instrText>
      </w:r>
      <w:r w:rsidR="00483733">
        <w:fldChar w:fldCharType="separate"/>
      </w:r>
      <w:r w:rsidR="00615FBC">
        <w:rPr>
          <w:noProof/>
        </w:rPr>
        <w:t>4</w:t>
      </w:r>
      <w:r w:rsidR="00483733">
        <w:rPr>
          <w:noProof/>
        </w:rPr>
        <w:fldChar w:fldCharType="end"/>
      </w:r>
      <w:bookmarkEnd w:id="30"/>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31" w:name="_Hlk106053567"/>
            <w:bookmarkStart w:id="32"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72218405" w:rsidR="000C5906" w:rsidRDefault="000C5906" w:rsidP="000C5906">
      <w:pPr>
        <w:pStyle w:val="Caption"/>
      </w:pPr>
      <w:bookmarkStart w:id="33" w:name="_Ref110784178"/>
      <w:bookmarkStart w:id="34" w:name="_Hlk106053555"/>
      <w:bookmarkEnd w:id="31"/>
      <w:r>
        <w:t xml:space="preserve">Table </w:t>
      </w:r>
      <w:r w:rsidR="00483733">
        <w:fldChar w:fldCharType="begin"/>
      </w:r>
      <w:r w:rsidR="00483733">
        <w:instrText xml:space="preserve"> SEQ Table \* ARABIC </w:instrText>
      </w:r>
      <w:r w:rsidR="00483733">
        <w:fldChar w:fldCharType="separate"/>
      </w:r>
      <w:r w:rsidR="00615FBC">
        <w:rPr>
          <w:noProof/>
        </w:rPr>
        <w:t>5</w:t>
      </w:r>
      <w:r w:rsidR="00483733">
        <w:rPr>
          <w:noProof/>
        </w:rPr>
        <w:fldChar w:fldCharType="end"/>
      </w:r>
      <w:bookmarkEnd w:id="32"/>
      <w:bookmarkEnd w:id="33"/>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34"/>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113304EB" w:rsidR="00DD16EB" w:rsidRDefault="00DD16EB" w:rsidP="00DD16EB">
      <w:pPr>
        <w:pStyle w:val="Caption"/>
        <w:keepNext/>
      </w:pPr>
      <w:bookmarkStart w:id="35" w:name="_Ref94197100"/>
      <w:bookmarkStart w:id="36" w:name="_Ref94197081"/>
      <w:r>
        <w:t xml:space="preserve">Table </w:t>
      </w:r>
      <w:r>
        <w:rPr>
          <w:i w:val="0"/>
          <w:iCs w:val="0"/>
        </w:rPr>
        <w:fldChar w:fldCharType="begin"/>
      </w:r>
      <w:r>
        <w:rPr>
          <w:i w:val="0"/>
          <w:iCs w:val="0"/>
        </w:rPr>
        <w:instrText xml:space="preserve"> SEQ Table \* ARABIC </w:instrText>
      </w:r>
      <w:r>
        <w:rPr>
          <w:i w:val="0"/>
          <w:iCs w:val="0"/>
        </w:rPr>
        <w:fldChar w:fldCharType="separate"/>
      </w:r>
      <w:r w:rsidR="00615FBC">
        <w:rPr>
          <w:i w:val="0"/>
          <w:iCs w:val="0"/>
          <w:noProof/>
        </w:rPr>
        <w:t>6</w:t>
      </w:r>
      <w:r>
        <w:rPr>
          <w:i w:val="0"/>
          <w:iCs w:val="0"/>
          <w:noProof/>
          <w:color w:val="auto"/>
          <w:sz w:val="22"/>
          <w:szCs w:val="22"/>
        </w:rPr>
        <w:fldChar w:fldCharType="end"/>
      </w:r>
      <w:bookmarkEnd w:id="35"/>
      <w:r>
        <w:t>. Total turnover and rates of species disappearance (loss) was always greater between 1999 and 2019 than between 1979 and 1999. However, fewer species were gained in the Bogbean assemblage 1999-2019 than 1979-1999.</w:t>
      </w:r>
      <w:bookmarkEnd w:id="36"/>
      <w:r>
        <w:t xml:space="preserve"> </w:t>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DD16EB" w:rsidRPr="009560F5" w14:paraId="5FF00676" w14:textId="77777777" w:rsidTr="00615FBC">
        <w:trPr>
          <w:trHeight w:val="580"/>
          <w:jc w:val="center"/>
        </w:trPr>
        <w:tc>
          <w:tcPr>
            <w:tcW w:w="1311" w:type="dxa"/>
            <w:tcBorders>
              <w:top w:val="nil"/>
              <w:left w:val="nil"/>
              <w:bottom w:val="nil"/>
              <w:right w:val="nil"/>
            </w:tcBorders>
            <w:shd w:val="clear" w:color="auto" w:fill="auto"/>
            <w:vAlign w:val="center"/>
            <w:hideMark/>
          </w:tcPr>
          <w:p w14:paraId="344C280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68A94593"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40DF03DA"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46A387CE"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0A9DB9D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DD16EB" w:rsidRPr="009560F5" w14:paraId="0ABE20D3" w14:textId="77777777" w:rsidTr="00615FBC">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1634B908"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7FAB2B6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64AD749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6D5EEB6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D7A5FE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DD16EB" w:rsidRPr="009560F5" w14:paraId="787BB68F" w14:textId="77777777" w:rsidTr="00615FBC">
        <w:trPr>
          <w:trHeight w:val="290"/>
          <w:jc w:val="center"/>
        </w:trPr>
        <w:tc>
          <w:tcPr>
            <w:tcW w:w="1311" w:type="dxa"/>
            <w:vMerge/>
            <w:tcBorders>
              <w:top w:val="single" w:sz="4" w:space="0" w:color="auto"/>
              <w:left w:val="nil"/>
              <w:bottom w:val="single" w:sz="4" w:space="0" w:color="000000"/>
              <w:right w:val="nil"/>
            </w:tcBorders>
            <w:vAlign w:val="center"/>
            <w:hideMark/>
          </w:tcPr>
          <w:p w14:paraId="3AFDF487"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B9AA98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3766424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6909C4B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6CD2E7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DD16EB" w:rsidRPr="009560F5" w14:paraId="234A36A5"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D17826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49F2D6B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04247C9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06CC1FE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5FF05DC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DD16EB" w:rsidRPr="009560F5" w14:paraId="19A067F4" w14:textId="77777777" w:rsidTr="00615FBC">
        <w:trPr>
          <w:trHeight w:val="290"/>
          <w:jc w:val="center"/>
        </w:trPr>
        <w:tc>
          <w:tcPr>
            <w:tcW w:w="1311" w:type="dxa"/>
            <w:vMerge/>
            <w:tcBorders>
              <w:top w:val="nil"/>
              <w:left w:val="nil"/>
              <w:bottom w:val="single" w:sz="4" w:space="0" w:color="000000"/>
              <w:right w:val="nil"/>
            </w:tcBorders>
            <w:vAlign w:val="center"/>
            <w:hideMark/>
          </w:tcPr>
          <w:p w14:paraId="711F16E1"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50BDA5C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168CCC3C"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3283DB9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078BCF6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DD16EB" w:rsidRPr="009560F5" w14:paraId="6CC760E8"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9C0C4B2"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346BE5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3C0051F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73545194"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04CAA27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DD16EB" w:rsidRPr="009560F5" w14:paraId="52D766F4" w14:textId="77777777" w:rsidTr="00615FBC">
        <w:trPr>
          <w:trHeight w:val="290"/>
          <w:jc w:val="center"/>
        </w:trPr>
        <w:tc>
          <w:tcPr>
            <w:tcW w:w="1311" w:type="dxa"/>
            <w:vMerge/>
            <w:tcBorders>
              <w:top w:val="nil"/>
              <w:left w:val="nil"/>
              <w:bottom w:val="single" w:sz="4" w:space="0" w:color="000000"/>
              <w:right w:val="nil"/>
            </w:tcBorders>
            <w:vAlign w:val="center"/>
            <w:hideMark/>
          </w:tcPr>
          <w:p w14:paraId="37DD8E88"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9B1C0C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33CCC0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E6B5A6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47779D3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4E5F5236" w:rsidR="00EB4CE1" w:rsidRDefault="006601E5" w:rsidP="00DC704D">
      <w:pPr>
        <w:pStyle w:val="Caption"/>
      </w:pPr>
      <w:bookmarkStart w:id="37" w:name="_Ref103170147"/>
      <w:r>
        <w:t xml:space="preserve">Table </w:t>
      </w:r>
      <w:r w:rsidR="00483733">
        <w:fldChar w:fldCharType="begin"/>
      </w:r>
      <w:r w:rsidR="00483733">
        <w:instrText xml:space="preserve"> SEQ Table \* ARABIC </w:instrText>
      </w:r>
      <w:r w:rsidR="00483733">
        <w:fldChar w:fldCharType="separate"/>
      </w:r>
      <w:r w:rsidR="00615FBC">
        <w:rPr>
          <w:noProof/>
        </w:rPr>
        <w:t>7</w:t>
      </w:r>
      <w:r w:rsidR="00483733">
        <w:rPr>
          <w:noProof/>
        </w:rPr>
        <w:fldChar w:fldCharType="end"/>
      </w:r>
      <w:bookmarkEnd w:id="37"/>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Myrica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Myosotis scorpiodes</w:t>
            </w:r>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Rumex occidentalis</w:t>
            </w:r>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05DD5A2F" w:rsidR="00EB4CE1" w:rsidRDefault="00DD54D4" w:rsidP="00DD54D4">
      <w:pPr>
        <w:pStyle w:val="Caption"/>
      </w:pPr>
      <w:bookmarkStart w:id="38" w:name="_Ref110786433"/>
      <w:r>
        <w:t xml:space="preserve">Figure </w:t>
      </w:r>
      <w:r w:rsidR="00483733">
        <w:fldChar w:fldCharType="begin"/>
      </w:r>
      <w:r w:rsidR="00483733">
        <w:instrText xml:space="preserve"> SEQ Figure \* ARABIC </w:instrText>
      </w:r>
      <w:r w:rsidR="00483733">
        <w:fldChar w:fldCharType="separate"/>
      </w:r>
      <w:r w:rsidR="00615FBC">
        <w:rPr>
          <w:noProof/>
        </w:rPr>
        <w:t>5</w:t>
      </w:r>
      <w:r w:rsidR="00483733">
        <w:rPr>
          <w:noProof/>
        </w:rPr>
        <w:fldChar w:fldCharType="end"/>
      </w:r>
      <w:bookmarkEnd w:id="38"/>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commentRangeStart w:id="39"/>
      <w:r>
        <w:lastRenderedPageBreak/>
        <w:t xml:space="preserve">Potential </w:t>
      </w:r>
      <w:commentRangeEnd w:id="39"/>
      <w:r w:rsidR="00687F56">
        <w:rPr>
          <w:rStyle w:val="CommentReference"/>
          <w:rFonts w:asciiTheme="minorHAnsi" w:eastAsiaTheme="minorHAnsi" w:hAnsiTheme="minorHAnsi" w:cstheme="minorBidi"/>
          <w:color w:val="auto"/>
        </w:rPr>
        <w:commentReference w:id="39"/>
      </w:r>
      <w:r>
        <w:t>journals</w:t>
      </w:r>
    </w:p>
    <w:bookmarkStart w:id="40" w:name="_Hlk104299828"/>
    <w:p w14:paraId="67DCDEAC" w14:textId="17D97EF0"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0DE78A11"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1" w:history="1">
        <w:r w:rsidRPr="004126DB">
          <w:rPr>
            <w:rStyle w:val="Hyperlink"/>
          </w:rPr>
          <w:t>Applied Vegetation Science</w:t>
        </w:r>
      </w:hyperlink>
      <w:r>
        <w:t>.</w:t>
      </w:r>
    </w:p>
    <w:bookmarkEnd w:id="40"/>
    <w:p w14:paraId="76B6969C" w14:textId="1470BBB9"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3DE6859" w:rsidR="00AF6DDB" w:rsidRDefault="00483733" w:rsidP="00AF6DDB">
      <w:pPr>
        <w:pStyle w:val="Heading2"/>
        <w:suppressLineNumbers/>
      </w:pPr>
      <w:hyperlink r:id="rId32"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4655E464"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3"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6827A3CC" w:rsidR="00AF6DDB" w:rsidRDefault="00483733" w:rsidP="00AF6DDB">
      <w:pPr>
        <w:pStyle w:val="Heading2"/>
        <w:suppressLineNumbers/>
      </w:pPr>
      <w:hyperlink r:id="rId34"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 xml:space="preserve">Plant Ecology publishes original scientific papers that report and interpret the findings of pure and applied research into the ecology of vascular plants in terrestrial and wetland ecosystems. Empirical, </w:t>
      </w:r>
      <w:r w:rsidRPr="003A6805">
        <w:lastRenderedPageBreak/>
        <w:t>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53C3B049" w:rsidR="00AF6DDB" w:rsidRDefault="00483733" w:rsidP="00AF6DDB">
      <w:pPr>
        <w:pStyle w:val="Heading2"/>
        <w:suppressLineNumbers/>
      </w:pPr>
      <w:hyperlink r:id="rId35"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n" w:date="2022-07-08T07:11:00Z" w:initials="n">
    <w:p w14:paraId="1658BD33" w14:textId="77777777" w:rsidR="00B6028C" w:rsidRDefault="00B6028C">
      <w:pPr>
        <w:pStyle w:val="CommentText"/>
      </w:pPr>
      <w:r>
        <w:rPr>
          <w:rStyle w:val="CommentReference"/>
        </w:rPr>
        <w:annotationRef/>
      </w:r>
      <w:r>
        <w:t>You might make one figure out of this and the barplot below</w:t>
      </w:r>
    </w:p>
    <w:p w14:paraId="570B2CA3" w14:textId="77777777" w:rsidR="00B6028C" w:rsidRDefault="00B6028C">
      <w:pPr>
        <w:pStyle w:val="CommentText"/>
      </w:pPr>
    </w:p>
    <w:p w14:paraId="2993BC9D" w14:textId="01769260" w:rsidR="00B6028C" w:rsidRDefault="00B6028C">
      <w:pPr>
        <w:pStyle w:val="CommentText"/>
      </w:pPr>
      <w:r>
        <w:t>You don’t need the IndVal or p-value columns here, so you might find a nice way to list the species embedded in or beside the barplot</w:t>
      </w:r>
    </w:p>
  </w:comment>
  <w:comment w:id="9" w:author="Stefanie Lane" w:date="2022-08-07T16:35:00Z" w:initials="SLL">
    <w:p w14:paraId="600E2400" w14:textId="1994EB5C" w:rsidR="00B6028C" w:rsidRDefault="00B6028C">
      <w:pPr>
        <w:pStyle w:val="CommentText"/>
      </w:pPr>
      <w:r>
        <w:rPr>
          <w:rStyle w:val="CommentReference"/>
        </w:rPr>
        <w:annotationRef/>
      </w:r>
      <w:r>
        <w:t xml:space="preserve">Because I don’t show all indicator species in the </w:t>
      </w:r>
      <w:r>
        <w:t xml:space="preserve">barplot (seems visually noisy), should this table stay as it includes all species significantly indicating the assemblage? Agree IndVal stat can be removed. </w:t>
      </w:r>
    </w:p>
  </w:comment>
  <w:comment w:id="15" w:author="n" w:date="2022-08-15T08:48:00Z" w:initials="n">
    <w:p w14:paraId="7EED3A64" w14:textId="65893976" w:rsidR="004E55A1" w:rsidRDefault="004E55A1">
      <w:pPr>
        <w:pStyle w:val="CommentText"/>
      </w:pPr>
      <w:r>
        <w:rPr>
          <w:rStyle w:val="CommentReference"/>
        </w:rPr>
        <w:annotationRef/>
      </w:r>
      <w:r>
        <w:t xml:space="preserve">Some of this reads like results. Rather than a detailed play-by-play, hit </w:t>
      </w:r>
      <w:r w:rsidR="001121E1">
        <w:t>only the details that are relevant to larger patterns / results you want to discuss</w:t>
      </w:r>
      <w:r>
        <w:t>.</w:t>
      </w:r>
    </w:p>
    <w:p w14:paraId="10A88B2F" w14:textId="77777777" w:rsidR="004E55A1" w:rsidRDefault="004E55A1">
      <w:pPr>
        <w:pStyle w:val="CommentText"/>
      </w:pPr>
    </w:p>
    <w:p w14:paraId="621A2F37" w14:textId="77777777" w:rsidR="004E55A1" w:rsidRDefault="004E55A1">
      <w:pPr>
        <w:pStyle w:val="CommentText"/>
      </w:pPr>
      <w:r>
        <w:t>You talk about loss of redundancy – point out whether the natives that have been lost represent that kind of redundancy</w:t>
      </w:r>
    </w:p>
    <w:p w14:paraId="7D375081" w14:textId="77777777" w:rsidR="004E55A1" w:rsidRDefault="004E55A1">
      <w:pPr>
        <w:pStyle w:val="CommentText"/>
      </w:pPr>
    </w:p>
    <w:p w14:paraId="6046C220" w14:textId="49AD5FE8" w:rsidR="004E55A1" w:rsidRDefault="004E55A1">
      <w:pPr>
        <w:pStyle w:val="CommentText"/>
      </w:pPr>
      <w:r>
        <w:t xml:space="preserve">I like the point about woody species coming into the system and representing a </w:t>
      </w:r>
      <w:r>
        <w:t xml:space="preserve">functional differences – are there other woody species? </w:t>
      </w:r>
    </w:p>
  </w:comment>
  <w:comment w:id="16" w:author="n" w:date="2022-08-15T08:54:00Z" w:initials="n">
    <w:p w14:paraId="3F0C5601" w14:textId="574C423F" w:rsidR="001121E1" w:rsidRDefault="001121E1">
      <w:pPr>
        <w:pStyle w:val="CommentText"/>
      </w:pPr>
      <w:r>
        <w:rPr>
          <w:rStyle w:val="CommentReference"/>
        </w:rPr>
        <w:annotationRef/>
      </w:r>
    </w:p>
  </w:comment>
  <w:comment w:id="17" w:author="n" w:date="2022-08-15T08:54:00Z" w:initials="n">
    <w:p w14:paraId="2057BADC" w14:textId="15326318" w:rsidR="001121E1" w:rsidRDefault="001121E1">
      <w:pPr>
        <w:pStyle w:val="CommentText"/>
      </w:pPr>
      <w:r>
        <w:rPr>
          <w:rStyle w:val="CommentReference"/>
        </w:rPr>
        <w:annotationRef/>
      </w:r>
      <w:r>
        <w:t>This paragraph is redundant</w:t>
      </w:r>
    </w:p>
  </w:comment>
  <w:comment w:id="18" w:author="n" w:date="2022-08-15T08:55:00Z" w:initials="n">
    <w:p w14:paraId="7DD7A87A" w14:textId="415EE6EA" w:rsidR="001121E1" w:rsidRDefault="001121E1">
      <w:pPr>
        <w:pStyle w:val="CommentText"/>
      </w:pPr>
      <w:r>
        <w:rPr>
          <w:rStyle w:val="CommentReference"/>
        </w:rPr>
        <w:annotationRef/>
      </w:r>
      <w:r>
        <w:t>Is this worth noting? I feel like if you were talking to a manager, or funder, yes, worthy of note. In this context, though, probably not needed</w:t>
      </w:r>
    </w:p>
  </w:comment>
  <w:comment w:id="19" w:author="n" w:date="2022-08-15T08:57:00Z" w:initials="n">
    <w:p w14:paraId="4E831FC0" w14:textId="77777777" w:rsidR="001121E1" w:rsidRDefault="001121E1">
      <w:pPr>
        <w:pStyle w:val="CommentText"/>
      </w:pPr>
      <w:r>
        <w:rPr>
          <w:rStyle w:val="CommentReference"/>
        </w:rPr>
        <w:annotationRef/>
      </w:r>
      <w:r>
        <w:t>You’ve split up discussing certain things – you mention that the dominants are still dominant, but then wait a page to discuss these details. I think having the discussion split into these headers is making your writing a bit inefficient</w:t>
      </w:r>
    </w:p>
    <w:p w14:paraId="177EA7DF" w14:textId="77777777" w:rsidR="001121E1" w:rsidRDefault="001121E1">
      <w:pPr>
        <w:pStyle w:val="CommentText"/>
      </w:pPr>
    </w:p>
    <w:p w14:paraId="129B6938" w14:textId="6648594D" w:rsidR="001121E1" w:rsidRDefault="001121E1">
      <w:pPr>
        <w:pStyle w:val="CommentText"/>
      </w:pPr>
      <w:r>
        <w:t>Additionally, the DETAILED results (like these lists of numeric findings) should be in the results</w:t>
      </w:r>
      <w:r w:rsidR="00AA5390">
        <w:t xml:space="preserve"> (maybe in one of the tables?), while the discussion will flow better if you just point at trends, not specific numbers</w:t>
      </w:r>
    </w:p>
  </w:comment>
  <w:comment w:id="20" w:author="n" w:date="2022-08-15T08:59:00Z" w:initials="n">
    <w:p w14:paraId="02AE4E9F" w14:textId="46D30BAB" w:rsidR="00AA5390" w:rsidRDefault="00AA5390">
      <w:pPr>
        <w:pStyle w:val="CommentText"/>
      </w:pPr>
      <w:r>
        <w:rPr>
          <w:rStyle w:val="CommentReference"/>
        </w:rPr>
        <w:annotationRef/>
      </w:r>
      <w:r>
        <w:t>This paragraph is repetitive either from above content or from the results. Again, you aren’t just spitting results back again, but highlighting the results that illustrate points you want to make</w:t>
      </w:r>
    </w:p>
  </w:comment>
  <w:comment w:id="21" w:author="n" w:date="2022-08-15T09:00:00Z" w:initials="n">
    <w:p w14:paraId="5B613C3B" w14:textId="2EB714A7" w:rsidR="00AA5390" w:rsidRDefault="00AA5390">
      <w:pPr>
        <w:pStyle w:val="CommentText"/>
      </w:pPr>
      <w:r>
        <w:rPr>
          <w:rStyle w:val="CommentReference"/>
        </w:rPr>
        <w:annotationRef/>
      </w:r>
      <w:r>
        <w:t xml:space="preserve">This is better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2" w:author="n" w:date="2022-08-15T09:04:00Z" w:initials="n">
    <w:p w14:paraId="7AE3127E" w14:textId="0387B3FB" w:rsidR="00D83711" w:rsidRDefault="00D83711">
      <w:pPr>
        <w:pStyle w:val="CommentText"/>
      </w:pPr>
      <w:r>
        <w:rPr>
          <w:rStyle w:val="CommentReference"/>
        </w:rPr>
        <w:annotationRef/>
      </w:r>
      <w:r>
        <w:t>Repetitive</w:t>
      </w:r>
    </w:p>
    <w:p w14:paraId="744F7450" w14:textId="77777777" w:rsidR="00D83711" w:rsidRDefault="00D83711">
      <w:pPr>
        <w:pStyle w:val="CommentText"/>
      </w:pPr>
    </w:p>
    <w:p w14:paraId="4018426A" w14:textId="7BC7FCBB" w:rsidR="00D83711" w:rsidRDefault="00D83711">
      <w:pPr>
        <w:pStyle w:val="CommentText"/>
      </w:pPr>
      <w:r>
        <w:t>This is why I’m wondering if the subheadings are doing more harm than good. You can bring this point up into the discussion about species loss, and cover it in a couple of sentences rather than a full paragraph</w:t>
      </w:r>
    </w:p>
  </w:comment>
  <w:comment w:id="23" w:author="n" w:date="2022-08-15T09:05:00Z" w:initials="n">
    <w:p w14:paraId="4C5B93C5" w14:textId="77777777" w:rsidR="00D83711" w:rsidRDefault="00D83711">
      <w:pPr>
        <w:pStyle w:val="CommentText"/>
      </w:pPr>
      <w:r>
        <w:rPr>
          <w:rStyle w:val="CommentReference"/>
        </w:rPr>
        <w:annotationRef/>
      </w:r>
      <w:r>
        <w:t>And this could be linked to your section above pointing out how species changes might be pointing towards shifting abiotic conditions</w:t>
      </w:r>
    </w:p>
    <w:p w14:paraId="61EDB35A" w14:textId="77777777" w:rsidR="00D83711" w:rsidRDefault="00D83711">
      <w:pPr>
        <w:pStyle w:val="CommentText"/>
      </w:pPr>
    </w:p>
    <w:p w14:paraId="0CFC9A04" w14:textId="32D5116D" w:rsidR="00D83711" w:rsidRDefault="00D83711">
      <w:pPr>
        <w:pStyle w:val="CommentText"/>
      </w:pPr>
      <w:r>
        <w:t xml:space="preserve">Interesting to connect this to the increase in </w:t>
      </w:r>
      <w:r>
        <w:rPr>
          <w:i/>
        </w:rPr>
        <w:t xml:space="preserve">Agrostis stolonifera </w:t>
      </w:r>
      <w:r w:rsidRPr="00D83711">
        <w:rPr>
          <w:iCs/>
        </w:rPr>
        <w:t>and</w:t>
      </w:r>
      <w:r>
        <w:rPr>
          <w:i/>
        </w:rPr>
        <w:t xml:space="preserve"> Impatiens capensis</w:t>
      </w:r>
    </w:p>
  </w:comment>
  <w:comment w:id="24" w:author="n" w:date="2022-08-15T09:08:00Z" w:initials="n">
    <w:p w14:paraId="31D907BE" w14:textId="77777777" w:rsidR="007F678F" w:rsidRDefault="007F678F">
      <w:pPr>
        <w:pStyle w:val="CommentText"/>
      </w:pPr>
      <w:r>
        <w:rPr>
          <w:rStyle w:val="CommentReference"/>
        </w:rPr>
        <w:annotationRef/>
      </w:r>
      <w:r>
        <w:t>You’ve already discussed this a bit with your interannual variability point at the end of the functional section</w:t>
      </w:r>
    </w:p>
    <w:p w14:paraId="3668C5E0" w14:textId="77777777" w:rsidR="007F678F" w:rsidRDefault="007F678F">
      <w:pPr>
        <w:pStyle w:val="CommentText"/>
      </w:pPr>
    </w:p>
    <w:p w14:paraId="24257B81" w14:textId="03562986" w:rsidR="007F678F" w:rsidRDefault="007F678F">
      <w:pPr>
        <w:pStyle w:val="CommentText"/>
      </w:pPr>
      <w:r>
        <w:t>Combine for efficiency!</w:t>
      </w:r>
    </w:p>
  </w:comment>
  <w:comment w:id="25" w:author="n" w:date="2022-08-15T09:15:00Z" w:initials="n">
    <w:p w14:paraId="5932EDF4" w14:textId="54FF26A7" w:rsidR="004D1F88" w:rsidRDefault="004D1F88">
      <w:pPr>
        <w:pStyle w:val="CommentText"/>
      </w:pPr>
      <w:r>
        <w:rPr>
          <w:rStyle w:val="CommentReference"/>
        </w:rPr>
        <w:annotationRef/>
      </w:r>
      <w:r>
        <w:t>Are there any BC studies that do this? Otherwise, this could be removed if you’re running tight on space</w:t>
      </w:r>
    </w:p>
  </w:comment>
  <w:comment w:id="27" w:author="Martin, Tara (Forestry)" w:date="2022-05-27T10:20:00Z" w:initials="MT(">
    <w:p w14:paraId="0F78140F" w14:textId="66A5BFA4" w:rsidR="00B6028C" w:rsidRDefault="00B6028C">
      <w:pPr>
        <w:pStyle w:val="CommentText"/>
      </w:pPr>
      <w:r>
        <w:rPr>
          <w:rStyle w:val="CommentReference"/>
        </w:rPr>
        <w:annotationRef/>
      </w:r>
      <w:r>
        <w:t xml:space="preserve">This would be much easier to read if it were a Table that is editable in word rather than an image. Ditto for Table 5. </w:t>
      </w:r>
    </w:p>
  </w:comment>
  <w:comment w:id="39" w:author="Stefanie Lane" w:date="2022-06-15T11:14:00Z" w:initials="SLL">
    <w:p w14:paraId="4A68A39A" w14:textId="106C0071" w:rsidR="00B6028C" w:rsidRDefault="00B6028C">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93BC9D" w15:done="0"/>
  <w15:commentEx w15:paraId="600E2400" w15:paraIdParent="2993BC9D" w15:done="0"/>
  <w15:commentEx w15:paraId="6046C220" w15:done="0"/>
  <w15:commentEx w15:paraId="3F0C5601" w15:done="0"/>
  <w15:commentEx w15:paraId="2057BADC" w15:paraIdParent="3F0C5601" w15:done="0"/>
  <w15:commentEx w15:paraId="7DD7A87A" w15:done="0"/>
  <w15:commentEx w15:paraId="129B6938" w15:done="0"/>
  <w15:commentEx w15:paraId="02AE4E9F" w15:done="0"/>
  <w15:commentEx w15:paraId="5B613C3B" w15:done="0"/>
  <w15:commentEx w15:paraId="4018426A" w15:done="0"/>
  <w15:commentEx w15:paraId="0CFC9A04" w15:done="0"/>
  <w15:commentEx w15:paraId="24257B81" w15:done="0"/>
  <w15:commentEx w15:paraId="5932EDF4" w15:done="0"/>
  <w15:commentEx w15:paraId="0F78140F" w15:done="1"/>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722" w16cex:dateUtc="2022-07-08T14:11:00Z"/>
  <w16cex:commentExtensible w16cex:durableId="26A486E0" w16cex:dateUtc="2022-08-15T15:48:00Z"/>
  <w16cex:commentExtensible w16cex:durableId="26A48842" w16cex:dateUtc="2022-08-15T15:54:00Z"/>
  <w16cex:commentExtensible w16cex:durableId="26A48843" w16cex:dateUtc="2022-08-15T15:54:00Z"/>
  <w16cex:commentExtensible w16cex:durableId="26A48872" w16cex:dateUtc="2022-08-15T15:55:00Z"/>
  <w16cex:commentExtensible w16cex:durableId="26A488E2" w16cex:dateUtc="2022-08-15T15:57:00Z"/>
  <w16cex:commentExtensible w16cex:durableId="26A4897D" w16cex:dateUtc="2022-08-15T15:59:00Z"/>
  <w16cex:commentExtensible w16cex:durableId="26A489A0" w16cex:dateUtc="2022-08-15T16:00:00Z"/>
  <w16cex:commentExtensible w16cex:durableId="26A48A94" w16cex:dateUtc="2022-08-15T16:04:00Z"/>
  <w16cex:commentExtensible w16cex:durableId="26A48AF2" w16cex:dateUtc="2022-08-15T16:05:00Z"/>
  <w16cex:commentExtensible w16cex:durableId="26A48B98" w16cex:dateUtc="2022-08-15T16:08:00Z"/>
  <w16cex:commentExtensible w16cex:durableId="26A48D45" w16cex:dateUtc="2022-08-15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93BC9D" w16cid:durableId="26725722"/>
  <w16cid:commentId w16cid:paraId="600E2400" w16cid:durableId="269A6841"/>
  <w16cid:commentId w16cid:paraId="6046C220" w16cid:durableId="26A486E0"/>
  <w16cid:commentId w16cid:paraId="3F0C5601" w16cid:durableId="26A48842"/>
  <w16cid:commentId w16cid:paraId="2057BADC" w16cid:durableId="26A48843"/>
  <w16cid:commentId w16cid:paraId="7DD7A87A" w16cid:durableId="26A48872"/>
  <w16cid:commentId w16cid:paraId="129B6938" w16cid:durableId="26A488E2"/>
  <w16cid:commentId w16cid:paraId="02AE4E9F" w16cid:durableId="26A4897D"/>
  <w16cid:commentId w16cid:paraId="5B613C3B" w16cid:durableId="26A489A0"/>
  <w16cid:commentId w16cid:paraId="4018426A" w16cid:durableId="26A48A94"/>
  <w16cid:commentId w16cid:paraId="0CFC9A04" w16cid:durableId="26A48AF2"/>
  <w16cid:commentId w16cid:paraId="24257B81" w16cid:durableId="26A48B98"/>
  <w16cid:commentId w16cid:paraId="5932EDF4" w16cid:durableId="26A48D45"/>
  <w16cid:commentId w16cid:paraId="0F78140F" w16cid:durableId="26710C08"/>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7D2B" w14:textId="77777777" w:rsidR="005006C8" w:rsidRDefault="005006C8" w:rsidP="00BF4E75">
      <w:pPr>
        <w:spacing w:after="0" w:line="240" w:lineRule="auto"/>
      </w:pPr>
      <w:r>
        <w:separator/>
      </w:r>
    </w:p>
  </w:endnote>
  <w:endnote w:type="continuationSeparator" w:id="0">
    <w:p w14:paraId="59AB39AD" w14:textId="77777777" w:rsidR="005006C8" w:rsidRDefault="005006C8" w:rsidP="00BF4E75">
      <w:pPr>
        <w:spacing w:after="0" w:line="240" w:lineRule="auto"/>
      </w:pPr>
      <w:r>
        <w:continuationSeparator/>
      </w:r>
    </w:p>
  </w:endnote>
  <w:endnote w:type="continuationNotice" w:id="1">
    <w:p w14:paraId="140E5F1E" w14:textId="77777777" w:rsidR="005006C8" w:rsidRDefault="005006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C75A6" w14:textId="77777777" w:rsidR="005006C8" w:rsidRDefault="005006C8" w:rsidP="00BF4E75">
      <w:pPr>
        <w:spacing w:after="0" w:line="240" w:lineRule="auto"/>
      </w:pPr>
      <w:r>
        <w:separator/>
      </w:r>
    </w:p>
  </w:footnote>
  <w:footnote w:type="continuationSeparator" w:id="0">
    <w:p w14:paraId="3A11B674" w14:textId="77777777" w:rsidR="005006C8" w:rsidRDefault="005006C8" w:rsidP="00BF4E75">
      <w:pPr>
        <w:spacing w:after="0" w:line="240" w:lineRule="auto"/>
      </w:pPr>
      <w:r>
        <w:continuationSeparator/>
      </w:r>
    </w:p>
  </w:footnote>
  <w:footnote w:type="continuationNotice" w:id="1">
    <w:p w14:paraId="65DCD35F" w14:textId="77777777" w:rsidR="005006C8" w:rsidRDefault="005006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7777777" w:rsidR="00B6028C" w:rsidRDefault="00B6028C">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B6028C" w:rsidRDefault="00B602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B6028C" w:rsidRDefault="00B6028C">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B6028C" w:rsidRDefault="00B60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5"/>
  </w:num>
  <w:num w:numId="4">
    <w:abstractNumId w:val="20"/>
  </w:num>
  <w:num w:numId="5">
    <w:abstractNumId w:val="34"/>
  </w:num>
  <w:num w:numId="6">
    <w:abstractNumId w:val="31"/>
  </w:num>
  <w:num w:numId="7">
    <w:abstractNumId w:val="12"/>
  </w:num>
  <w:num w:numId="8">
    <w:abstractNumId w:val="11"/>
  </w:num>
  <w:num w:numId="9">
    <w:abstractNumId w:val="22"/>
  </w:num>
  <w:num w:numId="10">
    <w:abstractNumId w:val="2"/>
  </w:num>
  <w:num w:numId="11">
    <w:abstractNumId w:val="1"/>
  </w:num>
  <w:num w:numId="12">
    <w:abstractNumId w:val="3"/>
  </w:num>
  <w:num w:numId="13">
    <w:abstractNumId w:val="14"/>
  </w:num>
  <w:num w:numId="14">
    <w:abstractNumId w:val="24"/>
  </w:num>
  <w:num w:numId="15">
    <w:abstractNumId w:val="10"/>
  </w:num>
  <w:num w:numId="16">
    <w:abstractNumId w:val="18"/>
  </w:num>
  <w:num w:numId="17">
    <w:abstractNumId w:val="25"/>
  </w:num>
  <w:num w:numId="18">
    <w:abstractNumId w:val="21"/>
  </w:num>
  <w:num w:numId="19">
    <w:abstractNumId w:val="13"/>
  </w:num>
  <w:num w:numId="20">
    <w:abstractNumId w:val="17"/>
  </w:num>
  <w:num w:numId="21">
    <w:abstractNumId w:val="33"/>
  </w:num>
  <w:num w:numId="22">
    <w:abstractNumId w:val="35"/>
  </w:num>
  <w:num w:numId="23">
    <w:abstractNumId w:val="32"/>
  </w:num>
  <w:num w:numId="24">
    <w:abstractNumId w:val="4"/>
  </w:num>
  <w:num w:numId="25">
    <w:abstractNumId w:val="6"/>
  </w:num>
  <w:num w:numId="26">
    <w:abstractNumId w:val="30"/>
  </w:num>
  <w:num w:numId="27">
    <w:abstractNumId w:val="28"/>
  </w:num>
  <w:num w:numId="28">
    <w:abstractNumId w:val="36"/>
  </w:num>
  <w:num w:numId="29">
    <w:abstractNumId w:val="5"/>
  </w:num>
  <w:num w:numId="30">
    <w:abstractNumId w:val="27"/>
  </w:num>
  <w:num w:numId="31">
    <w:abstractNumId w:val="26"/>
  </w:num>
  <w:num w:numId="32">
    <w:abstractNumId w:val="29"/>
  </w:num>
  <w:num w:numId="33">
    <w:abstractNumId w:val="7"/>
  </w:num>
  <w:num w:numId="34">
    <w:abstractNumId w:val="0"/>
  </w:num>
  <w:num w:numId="35">
    <w:abstractNumId w:val="19"/>
  </w:num>
  <w:num w:numId="36">
    <w:abstractNumId w:val="9"/>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
    <w15:presenceInfo w15:providerId="Windows Live" w15:userId="81f6a45a1744a32d"/>
  </w15:person>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1ECF"/>
    <w:rsid w:val="00023269"/>
    <w:rsid w:val="00023622"/>
    <w:rsid w:val="00023B13"/>
    <w:rsid w:val="0003077F"/>
    <w:rsid w:val="00030FB9"/>
    <w:rsid w:val="00032A06"/>
    <w:rsid w:val="00032F50"/>
    <w:rsid w:val="0003389B"/>
    <w:rsid w:val="0003526B"/>
    <w:rsid w:val="0003545C"/>
    <w:rsid w:val="0003711B"/>
    <w:rsid w:val="00040606"/>
    <w:rsid w:val="000406CD"/>
    <w:rsid w:val="000415CA"/>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32A2"/>
    <w:rsid w:val="000834F5"/>
    <w:rsid w:val="00085771"/>
    <w:rsid w:val="00085CD4"/>
    <w:rsid w:val="00087251"/>
    <w:rsid w:val="000900E9"/>
    <w:rsid w:val="00091870"/>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3AD7"/>
    <w:rsid w:val="000D4503"/>
    <w:rsid w:val="000D57FF"/>
    <w:rsid w:val="000D7921"/>
    <w:rsid w:val="000E0AA0"/>
    <w:rsid w:val="000E1309"/>
    <w:rsid w:val="000E1C8D"/>
    <w:rsid w:val="000E45C4"/>
    <w:rsid w:val="000E4F3A"/>
    <w:rsid w:val="000E5B61"/>
    <w:rsid w:val="000E643E"/>
    <w:rsid w:val="000E729E"/>
    <w:rsid w:val="000E7352"/>
    <w:rsid w:val="000E7AE9"/>
    <w:rsid w:val="000F08CD"/>
    <w:rsid w:val="000F0F9A"/>
    <w:rsid w:val="000F0FB8"/>
    <w:rsid w:val="000F3F96"/>
    <w:rsid w:val="000F4196"/>
    <w:rsid w:val="000F6BE9"/>
    <w:rsid w:val="000F6CCA"/>
    <w:rsid w:val="00100565"/>
    <w:rsid w:val="00100D21"/>
    <w:rsid w:val="00102B71"/>
    <w:rsid w:val="0010340E"/>
    <w:rsid w:val="001042B3"/>
    <w:rsid w:val="001062CB"/>
    <w:rsid w:val="001105CB"/>
    <w:rsid w:val="00110DE4"/>
    <w:rsid w:val="00111023"/>
    <w:rsid w:val="001121E1"/>
    <w:rsid w:val="00112B78"/>
    <w:rsid w:val="001148DE"/>
    <w:rsid w:val="00114EB3"/>
    <w:rsid w:val="00115FDC"/>
    <w:rsid w:val="00116D28"/>
    <w:rsid w:val="00120429"/>
    <w:rsid w:val="0012104D"/>
    <w:rsid w:val="00122537"/>
    <w:rsid w:val="00122884"/>
    <w:rsid w:val="00124273"/>
    <w:rsid w:val="00124BDB"/>
    <w:rsid w:val="001262D0"/>
    <w:rsid w:val="00130227"/>
    <w:rsid w:val="001307AD"/>
    <w:rsid w:val="00130DE3"/>
    <w:rsid w:val="001326DF"/>
    <w:rsid w:val="00132E6A"/>
    <w:rsid w:val="0013437B"/>
    <w:rsid w:val="00135A6C"/>
    <w:rsid w:val="001369F0"/>
    <w:rsid w:val="00137AA7"/>
    <w:rsid w:val="00137DE2"/>
    <w:rsid w:val="001401E6"/>
    <w:rsid w:val="00140BDF"/>
    <w:rsid w:val="00141FDA"/>
    <w:rsid w:val="00142404"/>
    <w:rsid w:val="00142945"/>
    <w:rsid w:val="001429F4"/>
    <w:rsid w:val="00145842"/>
    <w:rsid w:val="001504D2"/>
    <w:rsid w:val="00151992"/>
    <w:rsid w:val="00153D83"/>
    <w:rsid w:val="0015412F"/>
    <w:rsid w:val="0015482B"/>
    <w:rsid w:val="00154B30"/>
    <w:rsid w:val="0015525B"/>
    <w:rsid w:val="001552E4"/>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961B7"/>
    <w:rsid w:val="001A0EA3"/>
    <w:rsid w:val="001A11D6"/>
    <w:rsid w:val="001A1881"/>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33F4"/>
    <w:rsid w:val="001C4110"/>
    <w:rsid w:val="001C64DC"/>
    <w:rsid w:val="001D0894"/>
    <w:rsid w:val="001D098D"/>
    <w:rsid w:val="001D3977"/>
    <w:rsid w:val="001D61AD"/>
    <w:rsid w:val="001D7003"/>
    <w:rsid w:val="001D7731"/>
    <w:rsid w:val="001E072A"/>
    <w:rsid w:val="001E210B"/>
    <w:rsid w:val="001E3C6F"/>
    <w:rsid w:val="001E50E6"/>
    <w:rsid w:val="001E5A8C"/>
    <w:rsid w:val="001E5D06"/>
    <w:rsid w:val="001E6553"/>
    <w:rsid w:val="001E759C"/>
    <w:rsid w:val="001F0C92"/>
    <w:rsid w:val="001F19B1"/>
    <w:rsid w:val="001F1D23"/>
    <w:rsid w:val="001F3B46"/>
    <w:rsid w:val="001F436B"/>
    <w:rsid w:val="001F5046"/>
    <w:rsid w:val="001F5545"/>
    <w:rsid w:val="001F699E"/>
    <w:rsid w:val="001F6AC9"/>
    <w:rsid w:val="0020057A"/>
    <w:rsid w:val="00201A74"/>
    <w:rsid w:val="00202599"/>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1775"/>
    <w:rsid w:val="00231BAA"/>
    <w:rsid w:val="00232AF1"/>
    <w:rsid w:val="00232B99"/>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DBF"/>
    <w:rsid w:val="00251F2D"/>
    <w:rsid w:val="002530CB"/>
    <w:rsid w:val="002532A3"/>
    <w:rsid w:val="0025479E"/>
    <w:rsid w:val="00255BCB"/>
    <w:rsid w:val="00257238"/>
    <w:rsid w:val="00260E9B"/>
    <w:rsid w:val="002613DE"/>
    <w:rsid w:val="00262B24"/>
    <w:rsid w:val="0026386E"/>
    <w:rsid w:val="0026387D"/>
    <w:rsid w:val="0026405A"/>
    <w:rsid w:val="002647A9"/>
    <w:rsid w:val="00265339"/>
    <w:rsid w:val="00265374"/>
    <w:rsid w:val="00266237"/>
    <w:rsid w:val="0026711C"/>
    <w:rsid w:val="0026723A"/>
    <w:rsid w:val="00270100"/>
    <w:rsid w:val="00271F10"/>
    <w:rsid w:val="0027315E"/>
    <w:rsid w:val="00274100"/>
    <w:rsid w:val="00276B00"/>
    <w:rsid w:val="00277767"/>
    <w:rsid w:val="00281A74"/>
    <w:rsid w:val="00281B1F"/>
    <w:rsid w:val="00281B21"/>
    <w:rsid w:val="00282781"/>
    <w:rsid w:val="00282D23"/>
    <w:rsid w:val="002839E8"/>
    <w:rsid w:val="002846E2"/>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02F"/>
    <w:rsid w:val="002B6766"/>
    <w:rsid w:val="002B7F52"/>
    <w:rsid w:val="002C15CA"/>
    <w:rsid w:val="002C1B96"/>
    <w:rsid w:val="002C1D2C"/>
    <w:rsid w:val="002C2500"/>
    <w:rsid w:val="002C2B35"/>
    <w:rsid w:val="002C2E18"/>
    <w:rsid w:val="002C3C8D"/>
    <w:rsid w:val="002C4FFA"/>
    <w:rsid w:val="002C55D8"/>
    <w:rsid w:val="002D0061"/>
    <w:rsid w:val="002D0C63"/>
    <w:rsid w:val="002D186B"/>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65F3"/>
    <w:rsid w:val="002E78EE"/>
    <w:rsid w:val="002F1902"/>
    <w:rsid w:val="002F27E1"/>
    <w:rsid w:val="002F3C7E"/>
    <w:rsid w:val="002F47C7"/>
    <w:rsid w:val="002F548C"/>
    <w:rsid w:val="002F72ED"/>
    <w:rsid w:val="002F7CB6"/>
    <w:rsid w:val="00302A99"/>
    <w:rsid w:val="00302BAF"/>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DE4"/>
    <w:rsid w:val="00350D7F"/>
    <w:rsid w:val="00351298"/>
    <w:rsid w:val="003516D0"/>
    <w:rsid w:val="003518FC"/>
    <w:rsid w:val="00352A16"/>
    <w:rsid w:val="0035373D"/>
    <w:rsid w:val="00353F7C"/>
    <w:rsid w:val="00354D05"/>
    <w:rsid w:val="003554A2"/>
    <w:rsid w:val="00355BBB"/>
    <w:rsid w:val="00356FC2"/>
    <w:rsid w:val="00357A5D"/>
    <w:rsid w:val="00357F51"/>
    <w:rsid w:val="00361ED3"/>
    <w:rsid w:val="00362708"/>
    <w:rsid w:val="00362DA9"/>
    <w:rsid w:val="00363A72"/>
    <w:rsid w:val="00364A1D"/>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80102"/>
    <w:rsid w:val="0038013D"/>
    <w:rsid w:val="00380BA0"/>
    <w:rsid w:val="00380D8E"/>
    <w:rsid w:val="0038192E"/>
    <w:rsid w:val="003821F1"/>
    <w:rsid w:val="003828C6"/>
    <w:rsid w:val="00382938"/>
    <w:rsid w:val="003841DB"/>
    <w:rsid w:val="003843D8"/>
    <w:rsid w:val="003857E9"/>
    <w:rsid w:val="003900B2"/>
    <w:rsid w:val="00390CC3"/>
    <w:rsid w:val="00390DB5"/>
    <w:rsid w:val="00391339"/>
    <w:rsid w:val="00392DC9"/>
    <w:rsid w:val="003A048B"/>
    <w:rsid w:val="003A302D"/>
    <w:rsid w:val="003A3518"/>
    <w:rsid w:val="003A6805"/>
    <w:rsid w:val="003A7FEF"/>
    <w:rsid w:val="003B0E2E"/>
    <w:rsid w:val="003B2DDD"/>
    <w:rsid w:val="003B6B3D"/>
    <w:rsid w:val="003C77E5"/>
    <w:rsid w:val="003C783A"/>
    <w:rsid w:val="003D0B07"/>
    <w:rsid w:val="003D15FC"/>
    <w:rsid w:val="003D217F"/>
    <w:rsid w:val="003D30A6"/>
    <w:rsid w:val="003D3321"/>
    <w:rsid w:val="003D3366"/>
    <w:rsid w:val="003D4C7B"/>
    <w:rsid w:val="003D5257"/>
    <w:rsid w:val="003D7780"/>
    <w:rsid w:val="003E0877"/>
    <w:rsid w:val="003E3BE9"/>
    <w:rsid w:val="003E5380"/>
    <w:rsid w:val="003E6D9C"/>
    <w:rsid w:val="003E73BD"/>
    <w:rsid w:val="003E77DE"/>
    <w:rsid w:val="003E7D76"/>
    <w:rsid w:val="003F0CC5"/>
    <w:rsid w:val="003F0DE8"/>
    <w:rsid w:val="003F19D8"/>
    <w:rsid w:val="003F241A"/>
    <w:rsid w:val="003F2561"/>
    <w:rsid w:val="003F3E2D"/>
    <w:rsid w:val="003F3F7D"/>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69BE"/>
    <w:rsid w:val="004306D0"/>
    <w:rsid w:val="00431393"/>
    <w:rsid w:val="004313B8"/>
    <w:rsid w:val="0043333B"/>
    <w:rsid w:val="00434A28"/>
    <w:rsid w:val="00434C56"/>
    <w:rsid w:val="00434F98"/>
    <w:rsid w:val="00436FFB"/>
    <w:rsid w:val="00443FA2"/>
    <w:rsid w:val="00444F7F"/>
    <w:rsid w:val="00446B55"/>
    <w:rsid w:val="00447198"/>
    <w:rsid w:val="00447259"/>
    <w:rsid w:val="00447764"/>
    <w:rsid w:val="00450EEF"/>
    <w:rsid w:val="00451D10"/>
    <w:rsid w:val="00452942"/>
    <w:rsid w:val="00453072"/>
    <w:rsid w:val="00453ACC"/>
    <w:rsid w:val="00456B4F"/>
    <w:rsid w:val="0045765D"/>
    <w:rsid w:val="00457D2C"/>
    <w:rsid w:val="004604A1"/>
    <w:rsid w:val="00461840"/>
    <w:rsid w:val="00463533"/>
    <w:rsid w:val="004645C0"/>
    <w:rsid w:val="00464FB4"/>
    <w:rsid w:val="00466169"/>
    <w:rsid w:val="00466393"/>
    <w:rsid w:val="0046752E"/>
    <w:rsid w:val="00467A3C"/>
    <w:rsid w:val="004708C1"/>
    <w:rsid w:val="004715D9"/>
    <w:rsid w:val="00474703"/>
    <w:rsid w:val="00481F1F"/>
    <w:rsid w:val="004832DC"/>
    <w:rsid w:val="004834EB"/>
    <w:rsid w:val="00483733"/>
    <w:rsid w:val="00483828"/>
    <w:rsid w:val="00483D34"/>
    <w:rsid w:val="0048459B"/>
    <w:rsid w:val="00485A40"/>
    <w:rsid w:val="0048665D"/>
    <w:rsid w:val="00493281"/>
    <w:rsid w:val="004939B2"/>
    <w:rsid w:val="00493F79"/>
    <w:rsid w:val="004951EF"/>
    <w:rsid w:val="004952BF"/>
    <w:rsid w:val="00496966"/>
    <w:rsid w:val="00496BFB"/>
    <w:rsid w:val="00496DDE"/>
    <w:rsid w:val="00497451"/>
    <w:rsid w:val="00497B75"/>
    <w:rsid w:val="004A05B5"/>
    <w:rsid w:val="004A412C"/>
    <w:rsid w:val="004A4987"/>
    <w:rsid w:val="004B0EA2"/>
    <w:rsid w:val="004B125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D10"/>
    <w:rsid w:val="004D0FAD"/>
    <w:rsid w:val="004D1B87"/>
    <w:rsid w:val="004D1F88"/>
    <w:rsid w:val="004D4202"/>
    <w:rsid w:val="004D7707"/>
    <w:rsid w:val="004D7A19"/>
    <w:rsid w:val="004E025F"/>
    <w:rsid w:val="004E07B6"/>
    <w:rsid w:val="004E2523"/>
    <w:rsid w:val="004E41B7"/>
    <w:rsid w:val="004E4FD4"/>
    <w:rsid w:val="004E511D"/>
    <w:rsid w:val="004E55A1"/>
    <w:rsid w:val="004E5737"/>
    <w:rsid w:val="004E6247"/>
    <w:rsid w:val="004E715D"/>
    <w:rsid w:val="004E761A"/>
    <w:rsid w:val="004F0A5E"/>
    <w:rsid w:val="004F1DD3"/>
    <w:rsid w:val="004F22B4"/>
    <w:rsid w:val="004F2CC3"/>
    <w:rsid w:val="004F3149"/>
    <w:rsid w:val="004F31B5"/>
    <w:rsid w:val="004F4742"/>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DAD"/>
    <w:rsid w:val="005205A8"/>
    <w:rsid w:val="00520744"/>
    <w:rsid w:val="005209C4"/>
    <w:rsid w:val="005211A7"/>
    <w:rsid w:val="00523DCA"/>
    <w:rsid w:val="00524332"/>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211F"/>
    <w:rsid w:val="005429E8"/>
    <w:rsid w:val="0054402A"/>
    <w:rsid w:val="00545B23"/>
    <w:rsid w:val="00546478"/>
    <w:rsid w:val="00547922"/>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6443"/>
    <w:rsid w:val="005775E0"/>
    <w:rsid w:val="0058125F"/>
    <w:rsid w:val="0058243F"/>
    <w:rsid w:val="005825A8"/>
    <w:rsid w:val="00582D1C"/>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7434"/>
    <w:rsid w:val="00597B02"/>
    <w:rsid w:val="00597B6A"/>
    <w:rsid w:val="005A0CEB"/>
    <w:rsid w:val="005A13B4"/>
    <w:rsid w:val="005A152F"/>
    <w:rsid w:val="005A3958"/>
    <w:rsid w:val="005A45E0"/>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30A9"/>
    <w:rsid w:val="005F3F8D"/>
    <w:rsid w:val="005F44EE"/>
    <w:rsid w:val="005F530C"/>
    <w:rsid w:val="005F62FF"/>
    <w:rsid w:val="005F6F03"/>
    <w:rsid w:val="005F7BFA"/>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5FBC"/>
    <w:rsid w:val="00616D04"/>
    <w:rsid w:val="006202C7"/>
    <w:rsid w:val="00621AD0"/>
    <w:rsid w:val="006227CC"/>
    <w:rsid w:val="006228AE"/>
    <w:rsid w:val="006229F7"/>
    <w:rsid w:val="00623488"/>
    <w:rsid w:val="006236E0"/>
    <w:rsid w:val="006260D4"/>
    <w:rsid w:val="006261B2"/>
    <w:rsid w:val="006268EF"/>
    <w:rsid w:val="00626CB4"/>
    <w:rsid w:val="00627D91"/>
    <w:rsid w:val="0063163F"/>
    <w:rsid w:val="00631E68"/>
    <w:rsid w:val="00631EE5"/>
    <w:rsid w:val="00632450"/>
    <w:rsid w:val="00632BF9"/>
    <w:rsid w:val="00632C3F"/>
    <w:rsid w:val="00637D0D"/>
    <w:rsid w:val="00640EC2"/>
    <w:rsid w:val="00640F94"/>
    <w:rsid w:val="00641175"/>
    <w:rsid w:val="0064149B"/>
    <w:rsid w:val="00642FB2"/>
    <w:rsid w:val="00645972"/>
    <w:rsid w:val="00645BA0"/>
    <w:rsid w:val="00646478"/>
    <w:rsid w:val="006509EF"/>
    <w:rsid w:val="0065175A"/>
    <w:rsid w:val="00653374"/>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6817"/>
    <w:rsid w:val="006779DC"/>
    <w:rsid w:val="00677BE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3B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10B7"/>
    <w:rsid w:val="006F1D4B"/>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079F9"/>
    <w:rsid w:val="007108E4"/>
    <w:rsid w:val="00711CA1"/>
    <w:rsid w:val="00713666"/>
    <w:rsid w:val="00713AA8"/>
    <w:rsid w:val="00715E10"/>
    <w:rsid w:val="00716B73"/>
    <w:rsid w:val="00717599"/>
    <w:rsid w:val="00717925"/>
    <w:rsid w:val="00717B42"/>
    <w:rsid w:val="00722C6E"/>
    <w:rsid w:val="007232F0"/>
    <w:rsid w:val="007277D8"/>
    <w:rsid w:val="00730EE5"/>
    <w:rsid w:val="00731E9D"/>
    <w:rsid w:val="00735F9E"/>
    <w:rsid w:val="00737366"/>
    <w:rsid w:val="00737DC6"/>
    <w:rsid w:val="0074150F"/>
    <w:rsid w:val="0074167B"/>
    <w:rsid w:val="00742ECA"/>
    <w:rsid w:val="00744FD6"/>
    <w:rsid w:val="0074639E"/>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AB0"/>
    <w:rsid w:val="007641CD"/>
    <w:rsid w:val="00764D94"/>
    <w:rsid w:val="00765E49"/>
    <w:rsid w:val="00766A27"/>
    <w:rsid w:val="00766A9C"/>
    <w:rsid w:val="00770D39"/>
    <w:rsid w:val="0077186C"/>
    <w:rsid w:val="00771950"/>
    <w:rsid w:val="00774A3D"/>
    <w:rsid w:val="00774F7E"/>
    <w:rsid w:val="00775E14"/>
    <w:rsid w:val="00780854"/>
    <w:rsid w:val="00780EFE"/>
    <w:rsid w:val="00781C35"/>
    <w:rsid w:val="00782975"/>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CF"/>
    <w:rsid w:val="007C16FD"/>
    <w:rsid w:val="007C216B"/>
    <w:rsid w:val="007C2518"/>
    <w:rsid w:val="007C4787"/>
    <w:rsid w:val="007C5111"/>
    <w:rsid w:val="007C65DB"/>
    <w:rsid w:val="007C7215"/>
    <w:rsid w:val="007D14DA"/>
    <w:rsid w:val="007D1510"/>
    <w:rsid w:val="007D18BD"/>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551D"/>
    <w:rsid w:val="007E76F8"/>
    <w:rsid w:val="007F10E6"/>
    <w:rsid w:val="007F224A"/>
    <w:rsid w:val="007F2945"/>
    <w:rsid w:val="007F2C68"/>
    <w:rsid w:val="007F552F"/>
    <w:rsid w:val="007F58E7"/>
    <w:rsid w:val="007F678F"/>
    <w:rsid w:val="007F6820"/>
    <w:rsid w:val="007F6D5D"/>
    <w:rsid w:val="007F7457"/>
    <w:rsid w:val="007F75D5"/>
    <w:rsid w:val="00804535"/>
    <w:rsid w:val="00804ABF"/>
    <w:rsid w:val="0080524E"/>
    <w:rsid w:val="00807ABB"/>
    <w:rsid w:val="00810720"/>
    <w:rsid w:val="008112B2"/>
    <w:rsid w:val="00811F80"/>
    <w:rsid w:val="008143B4"/>
    <w:rsid w:val="00815308"/>
    <w:rsid w:val="0081728E"/>
    <w:rsid w:val="00820F42"/>
    <w:rsid w:val="008215F2"/>
    <w:rsid w:val="00821B04"/>
    <w:rsid w:val="00822A1D"/>
    <w:rsid w:val="00823843"/>
    <w:rsid w:val="008246B7"/>
    <w:rsid w:val="0082558B"/>
    <w:rsid w:val="00826980"/>
    <w:rsid w:val="008278AB"/>
    <w:rsid w:val="00827992"/>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547E1"/>
    <w:rsid w:val="0086027D"/>
    <w:rsid w:val="00861509"/>
    <w:rsid w:val="0086653A"/>
    <w:rsid w:val="008667DB"/>
    <w:rsid w:val="008712F3"/>
    <w:rsid w:val="00872B88"/>
    <w:rsid w:val="00872EF0"/>
    <w:rsid w:val="00873701"/>
    <w:rsid w:val="00875EE5"/>
    <w:rsid w:val="00876D65"/>
    <w:rsid w:val="008772A4"/>
    <w:rsid w:val="008775FD"/>
    <w:rsid w:val="00880A48"/>
    <w:rsid w:val="00886BE2"/>
    <w:rsid w:val="008871D9"/>
    <w:rsid w:val="008879FB"/>
    <w:rsid w:val="00887D9F"/>
    <w:rsid w:val="008906A5"/>
    <w:rsid w:val="0089145E"/>
    <w:rsid w:val="008919D3"/>
    <w:rsid w:val="00892282"/>
    <w:rsid w:val="00892550"/>
    <w:rsid w:val="0089375E"/>
    <w:rsid w:val="00893C3F"/>
    <w:rsid w:val="008971A1"/>
    <w:rsid w:val="008A1FF7"/>
    <w:rsid w:val="008A2825"/>
    <w:rsid w:val="008A6AC1"/>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51B1"/>
    <w:rsid w:val="008D620A"/>
    <w:rsid w:val="008D7C52"/>
    <w:rsid w:val="008E0C4C"/>
    <w:rsid w:val="008E1F98"/>
    <w:rsid w:val="008E28D2"/>
    <w:rsid w:val="008E3E4F"/>
    <w:rsid w:val="008E445C"/>
    <w:rsid w:val="008E5A8C"/>
    <w:rsid w:val="008E629E"/>
    <w:rsid w:val="008F0232"/>
    <w:rsid w:val="008F096E"/>
    <w:rsid w:val="008F11DF"/>
    <w:rsid w:val="008F15A4"/>
    <w:rsid w:val="008F1D4F"/>
    <w:rsid w:val="008F27B9"/>
    <w:rsid w:val="008F28C2"/>
    <w:rsid w:val="008F4A72"/>
    <w:rsid w:val="008F615E"/>
    <w:rsid w:val="008F774C"/>
    <w:rsid w:val="0090054E"/>
    <w:rsid w:val="009024D3"/>
    <w:rsid w:val="00902E6D"/>
    <w:rsid w:val="00903A33"/>
    <w:rsid w:val="00907858"/>
    <w:rsid w:val="00907A37"/>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3E4A"/>
    <w:rsid w:val="00933EF5"/>
    <w:rsid w:val="0093412C"/>
    <w:rsid w:val="00934D31"/>
    <w:rsid w:val="00936505"/>
    <w:rsid w:val="00937CCB"/>
    <w:rsid w:val="00942DF3"/>
    <w:rsid w:val="009434BA"/>
    <w:rsid w:val="00945595"/>
    <w:rsid w:val="0094616F"/>
    <w:rsid w:val="00947182"/>
    <w:rsid w:val="0095147C"/>
    <w:rsid w:val="009518AE"/>
    <w:rsid w:val="00954FB4"/>
    <w:rsid w:val="00955EA6"/>
    <w:rsid w:val="009560F5"/>
    <w:rsid w:val="009565D0"/>
    <w:rsid w:val="009575C7"/>
    <w:rsid w:val="00960ADF"/>
    <w:rsid w:val="00960C24"/>
    <w:rsid w:val="00960C57"/>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2B42"/>
    <w:rsid w:val="009831EC"/>
    <w:rsid w:val="009835B0"/>
    <w:rsid w:val="009836CC"/>
    <w:rsid w:val="009837A5"/>
    <w:rsid w:val="00983F18"/>
    <w:rsid w:val="009853E8"/>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A00"/>
    <w:rsid w:val="009B1BF0"/>
    <w:rsid w:val="009B3910"/>
    <w:rsid w:val="009B4686"/>
    <w:rsid w:val="009B46F9"/>
    <w:rsid w:val="009B4A77"/>
    <w:rsid w:val="009B5FFC"/>
    <w:rsid w:val="009B696B"/>
    <w:rsid w:val="009B74D3"/>
    <w:rsid w:val="009B7734"/>
    <w:rsid w:val="009B7F56"/>
    <w:rsid w:val="009C06CB"/>
    <w:rsid w:val="009C08E0"/>
    <w:rsid w:val="009C2620"/>
    <w:rsid w:val="009C26BA"/>
    <w:rsid w:val="009C4224"/>
    <w:rsid w:val="009C4383"/>
    <w:rsid w:val="009C47B2"/>
    <w:rsid w:val="009C4C63"/>
    <w:rsid w:val="009C60E7"/>
    <w:rsid w:val="009C72CE"/>
    <w:rsid w:val="009C7F51"/>
    <w:rsid w:val="009D132B"/>
    <w:rsid w:val="009D1A0A"/>
    <w:rsid w:val="009D2215"/>
    <w:rsid w:val="009D5862"/>
    <w:rsid w:val="009D5B10"/>
    <w:rsid w:val="009D5D68"/>
    <w:rsid w:val="009D5D95"/>
    <w:rsid w:val="009D6661"/>
    <w:rsid w:val="009D7C18"/>
    <w:rsid w:val="009E2364"/>
    <w:rsid w:val="009E30A6"/>
    <w:rsid w:val="009E33B6"/>
    <w:rsid w:val="009E3CA2"/>
    <w:rsid w:val="009E4359"/>
    <w:rsid w:val="009E6EF0"/>
    <w:rsid w:val="009F0260"/>
    <w:rsid w:val="009F1121"/>
    <w:rsid w:val="009F2497"/>
    <w:rsid w:val="009F2D99"/>
    <w:rsid w:val="009F4733"/>
    <w:rsid w:val="009F4F68"/>
    <w:rsid w:val="009F650B"/>
    <w:rsid w:val="009F7460"/>
    <w:rsid w:val="00A00E4C"/>
    <w:rsid w:val="00A04088"/>
    <w:rsid w:val="00A04573"/>
    <w:rsid w:val="00A0546E"/>
    <w:rsid w:val="00A057AC"/>
    <w:rsid w:val="00A067F6"/>
    <w:rsid w:val="00A06E47"/>
    <w:rsid w:val="00A10EB3"/>
    <w:rsid w:val="00A11140"/>
    <w:rsid w:val="00A11AF9"/>
    <w:rsid w:val="00A11C7C"/>
    <w:rsid w:val="00A1470E"/>
    <w:rsid w:val="00A1508C"/>
    <w:rsid w:val="00A15AD1"/>
    <w:rsid w:val="00A15FE2"/>
    <w:rsid w:val="00A1679A"/>
    <w:rsid w:val="00A16B4B"/>
    <w:rsid w:val="00A171B6"/>
    <w:rsid w:val="00A20DBD"/>
    <w:rsid w:val="00A21CBF"/>
    <w:rsid w:val="00A22262"/>
    <w:rsid w:val="00A22923"/>
    <w:rsid w:val="00A238B2"/>
    <w:rsid w:val="00A25394"/>
    <w:rsid w:val="00A25A9F"/>
    <w:rsid w:val="00A25F28"/>
    <w:rsid w:val="00A300F5"/>
    <w:rsid w:val="00A34032"/>
    <w:rsid w:val="00A34338"/>
    <w:rsid w:val="00A35DB7"/>
    <w:rsid w:val="00A36F97"/>
    <w:rsid w:val="00A4023D"/>
    <w:rsid w:val="00A40812"/>
    <w:rsid w:val="00A414E5"/>
    <w:rsid w:val="00A41C9C"/>
    <w:rsid w:val="00A42668"/>
    <w:rsid w:val="00A43219"/>
    <w:rsid w:val="00A4417A"/>
    <w:rsid w:val="00A44FA4"/>
    <w:rsid w:val="00A4533D"/>
    <w:rsid w:val="00A46471"/>
    <w:rsid w:val="00A4761F"/>
    <w:rsid w:val="00A50052"/>
    <w:rsid w:val="00A516D4"/>
    <w:rsid w:val="00A51A9A"/>
    <w:rsid w:val="00A5217F"/>
    <w:rsid w:val="00A524E4"/>
    <w:rsid w:val="00A5448B"/>
    <w:rsid w:val="00A55689"/>
    <w:rsid w:val="00A5580A"/>
    <w:rsid w:val="00A55AFE"/>
    <w:rsid w:val="00A56B24"/>
    <w:rsid w:val="00A572EA"/>
    <w:rsid w:val="00A62F8C"/>
    <w:rsid w:val="00A641B0"/>
    <w:rsid w:val="00A64503"/>
    <w:rsid w:val="00A65220"/>
    <w:rsid w:val="00A65634"/>
    <w:rsid w:val="00A65739"/>
    <w:rsid w:val="00A65C46"/>
    <w:rsid w:val="00A66519"/>
    <w:rsid w:val="00A66521"/>
    <w:rsid w:val="00A6698C"/>
    <w:rsid w:val="00A67F7E"/>
    <w:rsid w:val="00A71890"/>
    <w:rsid w:val="00A73066"/>
    <w:rsid w:val="00A761BA"/>
    <w:rsid w:val="00A7637D"/>
    <w:rsid w:val="00A8047C"/>
    <w:rsid w:val="00A80776"/>
    <w:rsid w:val="00A812C3"/>
    <w:rsid w:val="00A81685"/>
    <w:rsid w:val="00A836C3"/>
    <w:rsid w:val="00A83CC3"/>
    <w:rsid w:val="00A84099"/>
    <w:rsid w:val="00A84D3A"/>
    <w:rsid w:val="00A85981"/>
    <w:rsid w:val="00A85FBC"/>
    <w:rsid w:val="00A863CC"/>
    <w:rsid w:val="00A914EE"/>
    <w:rsid w:val="00A92244"/>
    <w:rsid w:val="00A92717"/>
    <w:rsid w:val="00A92BF8"/>
    <w:rsid w:val="00A92F9A"/>
    <w:rsid w:val="00A94B74"/>
    <w:rsid w:val="00A94DD3"/>
    <w:rsid w:val="00A9637E"/>
    <w:rsid w:val="00A970BB"/>
    <w:rsid w:val="00A97D83"/>
    <w:rsid w:val="00AA00C7"/>
    <w:rsid w:val="00AA097D"/>
    <w:rsid w:val="00AA142C"/>
    <w:rsid w:val="00AA19AA"/>
    <w:rsid w:val="00AA1B69"/>
    <w:rsid w:val="00AA24C1"/>
    <w:rsid w:val="00AA2F11"/>
    <w:rsid w:val="00AA2F85"/>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C0554"/>
    <w:rsid w:val="00AC078D"/>
    <w:rsid w:val="00AC1054"/>
    <w:rsid w:val="00AC1473"/>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903"/>
    <w:rsid w:val="00AF5C4D"/>
    <w:rsid w:val="00AF617B"/>
    <w:rsid w:val="00AF6DDB"/>
    <w:rsid w:val="00AF6F9D"/>
    <w:rsid w:val="00B027AD"/>
    <w:rsid w:val="00B051DD"/>
    <w:rsid w:val="00B067C5"/>
    <w:rsid w:val="00B0684C"/>
    <w:rsid w:val="00B10282"/>
    <w:rsid w:val="00B112D7"/>
    <w:rsid w:val="00B12247"/>
    <w:rsid w:val="00B125A0"/>
    <w:rsid w:val="00B125C0"/>
    <w:rsid w:val="00B1370A"/>
    <w:rsid w:val="00B137F2"/>
    <w:rsid w:val="00B13D28"/>
    <w:rsid w:val="00B14056"/>
    <w:rsid w:val="00B142F5"/>
    <w:rsid w:val="00B152E2"/>
    <w:rsid w:val="00B16A74"/>
    <w:rsid w:val="00B16A83"/>
    <w:rsid w:val="00B17914"/>
    <w:rsid w:val="00B17DDE"/>
    <w:rsid w:val="00B200A5"/>
    <w:rsid w:val="00B20487"/>
    <w:rsid w:val="00B20B1C"/>
    <w:rsid w:val="00B20FEF"/>
    <w:rsid w:val="00B21BC1"/>
    <w:rsid w:val="00B21E18"/>
    <w:rsid w:val="00B225CB"/>
    <w:rsid w:val="00B238CA"/>
    <w:rsid w:val="00B23904"/>
    <w:rsid w:val="00B23B30"/>
    <w:rsid w:val="00B24004"/>
    <w:rsid w:val="00B24FA3"/>
    <w:rsid w:val="00B26ADC"/>
    <w:rsid w:val="00B26E4D"/>
    <w:rsid w:val="00B272BE"/>
    <w:rsid w:val="00B30E96"/>
    <w:rsid w:val="00B3220D"/>
    <w:rsid w:val="00B3227D"/>
    <w:rsid w:val="00B32C11"/>
    <w:rsid w:val="00B35CD6"/>
    <w:rsid w:val="00B3719A"/>
    <w:rsid w:val="00B40224"/>
    <w:rsid w:val="00B40842"/>
    <w:rsid w:val="00B41474"/>
    <w:rsid w:val="00B44909"/>
    <w:rsid w:val="00B4575F"/>
    <w:rsid w:val="00B47D6F"/>
    <w:rsid w:val="00B50176"/>
    <w:rsid w:val="00B50CE7"/>
    <w:rsid w:val="00B51030"/>
    <w:rsid w:val="00B52797"/>
    <w:rsid w:val="00B5315A"/>
    <w:rsid w:val="00B5422A"/>
    <w:rsid w:val="00B5630D"/>
    <w:rsid w:val="00B56827"/>
    <w:rsid w:val="00B572BF"/>
    <w:rsid w:val="00B57438"/>
    <w:rsid w:val="00B57785"/>
    <w:rsid w:val="00B6028C"/>
    <w:rsid w:val="00B608FE"/>
    <w:rsid w:val="00B61B57"/>
    <w:rsid w:val="00B6258E"/>
    <w:rsid w:val="00B64E24"/>
    <w:rsid w:val="00B653C2"/>
    <w:rsid w:val="00B65417"/>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2229"/>
    <w:rsid w:val="00B829EB"/>
    <w:rsid w:val="00B832A6"/>
    <w:rsid w:val="00B8617A"/>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4ABC"/>
    <w:rsid w:val="00BB7C99"/>
    <w:rsid w:val="00BC0673"/>
    <w:rsid w:val="00BC2519"/>
    <w:rsid w:val="00BC6EB6"/>
    <w:rsid w:val="00BC7372"/>
    <w:rsid w:val="00BD23FD"/>
    <w:rsid w:val="00BD2963"/>
    <w:rsid w:val="00BD2EEF"/>
    <w:rsid w:val="00BD4897"/>
    <w:rsid w:val="00BD4A5D"/>
    <w:rsid w:val="00BD7884"/>
    <w:rsid w:val="00BD7941"/>
    <w:rsid w:val="00BE1DC1"/>
    <w:rsid w:val="00BE22F1"/>
    <w:rsid w:val="00BE2B2D"/>
    <w:rsid w:val="00BE3435"/>
    <w:rsid w:val="00BE3EBE"/>
    <w:rsid w:val="00BE4E14"/>
    <w:rsid w:val="00BE5B2D"/>
    <w:rsid w:val="00BE6419"/>
    <w:rsid w:val="00BE6592"/>
    <w:rsid w:val="00BF11E6"/>
    <w:rsid w:val="00BF33D6"/>
    <w:rsid w:val="00BF4CF1"/>
    <w:rsid w:val="00BF4E75"/>
    <w:rsid w:val="00BF6BC0"/>
    <w:rsid w:val="00C0125E"/>
    <w:rsid w:val="00C025C4"/>
    <w:rsid w:val="00C02E94"/>
    <w:rsid w:val="00C03394"/>
    <w:rsid w:val="00C04EFB"/>
    <w:rsid w:val="00C11F92"/>
    <w:rsid w:val="00C14267"/>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1C30"/>
    <w:rsid w:val="00C42257"/>
    <w:rsid w:val="00C43526"/>
    <w:rsid w:val="00C43531"/>
    <w:rsid w:val="00C4373A"/>
    <w:rsid w:val="00C4444F"/>
    <w:rsid w:val="00C45A65"/>
    <w:rsid w:val="00C5002E"/>
    <w:rsid w:val="00C503CA"/>
    <w:rsid w:val="00C52729"/>
    <w:rsid w:val="00C5549B"/>
    <w:rsid w:val="00C55998"/>
    <w:rsid w:val="00C55BA3"/>
    <w:rsid w:val="00C56065"/>
    <w:rsid w:val="00C5636B"/>
    <w:rsid w:val="00C56564"/>
    <w:rsid w:val="00C5686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779E6"/>
    <w:rsid w:val="00C803E9"/>
    <w:rsid w:val="00C80754"/>
    <w:rsid w:val="00C80B84"/>
    <w:rsid w:val="00C8195F"/>
    <w:rsid w:val="00C8310E"/>
    <w:rsid w:val="00C83A8E"/>
    <w:rsid w:val="00C83D32"/>
    <w:rsid w:val="00C847A1"/>
    <w:rsid w:val="00C85884"/>
    <w:rsid w:val="00C858BE"/>
    <w:rsid w:val="00C85DD5"/>
    <w:rsid w:val="00C86781"/>
    <w:rsid w:val="00C876B9"/>
    <w:rsid w:val="00C87C21"/>
    <w:rsid w:val="00C87D42"/>
    <w:rsid w:val="00C925BB"/>
    <w:rsid w:val="00C925CA"/>
    <w:rsid w:val="00C928FF"/>
    <w:rsid w:val="00C92E39"/>
    <w:rsid w:val="00C938EC"/>
    <w:rsid w:val="00C93D84"/>
    <w:rsid w:val="00C94867"/>
    <w:rsid w:val="00C951A8"/>
    <w:rsid w:val="00CA0247"/>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78BA"/>
    <w:rsid w:val="00CD2620"/>
    <w:rsid w:val="00CD36F2"/>
    <w:rsid w:val="00CD5021"/>
    <w:rsid w:val="00CD760E"/>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381A"/>
    <w:rsid w:val="00CF4F30"/>
    <w:rsid w:val="00CF60F3"/>
    <w:rsid w:val="00CF6E65"/>
    <w:rsid w:val="00CF76D0"/>
    <w:rsid w:val="00D006A8"/>
    <w:rsid w:val="00D00AEA"/>
    <w:rsid w:val="00D00D38"/>
    <w:rsid w:val="00D02040"/>
    <w:rsid w:val="00D03FB7"/>
    <w:rsid w:val="00D04063"/>
    <w:rsid w:val="00D04961"/>
    <w:rsid w:val="00D04DEB"/>
    <w:rsid w:val="00D04E75"/>
    <w:rsid w:val="00D0523C"/>
    <w:rsid w:val="00D0552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1751E"/>
    <w:rsid w:val="00D211D7"/>
    <w:rsid w:val="00D22138"/>
    <w:rsid w:val="00D250AB"/>
    <w:rsid w:val="00D265CF"/>
    <w:rsid w:val="00D27999"/>
    <w:rsid w:val="00D30647"/>
    <w:rsid w:val="00D32FFF"/>
    <w:rsid w:val="00D33D45"/>
    <w:rsid w:val="00D346C6"/>
    <w:rsid w:val="00D35CF0"/>
    <w:rsid w:val="00D36EDD"/>
    <w:rsid w:val="00D41379"/>
    <w:rsid w:val="00D417C6"/>
    <w:rsid w:val="00D42A39"/>
    <w:rsid w:val="00D43FBD"/>
    <w:rsid w:val="00D4425C"/>
    <w:rsid w:val="00D449DB"/>
    <w:rsid w:val="00D502A8"/>
    <w:rsid w:val="00D50E98"/>
    <w:rsid w:val="00D5247D"/>
    <w:rsid w:val="00D525E1"/>
    <w:rsid w:val="00D529B9"/>
    <w:rsid w:val="00D5322B"/>
    <w:rsid w:val="00D53476"/>
    <w:rsid w:val="00D5364E"/>
    <w:rsid w:val="00D541D1"/>
    <w:rsid w:val="00D570B4"/>
    <w:rsid w:val="00D57B41"/>
    <w:rsid w:val="00D608C6"/>
    <w:rsid w:val="00D623F0"/>
    <w:rsid w:val="00D66AC3"/>
    <w:rsid w:val="00D67027"/>
    <w:rsid w:val="00D673A3"/>
    <w:rsid w:val="00D70675"/>
    <w:rsid w:val="00D70908"/>
    <w:rsid w:val="00D714F9"/>
    <w:rsid w:val="00D71C66"/>
    <w:rsid w:val="00D72B27"/>
    <w:rsid w:val="00D732FC"/>
    <w:rsid w:val="00D73FB1"/>
    <w:rsid w:val="00D74EE0"/>
    <w:rsid w:val="00D75DA9"/>
    <w:rsid w:val="00D76E01"/>
    <w:rsid w:val="00D76F6F"/>
    <w:rsid w:val="00D800BC"/>
    <w:rsid w:val="00D804F7"/>
    <w:rsid w:val="00D81553"/>
    <w:rsid w:val="00D81B84"/>
    <w:rsid w:val="00D81CB7"/>
    <w:rsid w:val="00D83235"/>
    <w:rsid w:val="00D83711"/>
    <w:rsid w:val="00D84B2A"/>
    <w:rsid w:val="00D859E5"/>
    <w:rsid w:val="00D8669D"/>
    <w:rsid w:val="00D86CB9"/>
    <w:rsid w:val="00D8774E"/>
    <w:rsid w:val="00D9113B"/>
    <w:rsid w:val="00D92E45"/>
    <w:rsid w:val="00D93136"/>
    <w:rsid w:val="00D9468B"/>
    <w:rsid w:val="00D95107"/>
    <w:rsid w:val="00D95917"/>
    <w:rsid w:val="00D95CDE"/>
    <w:rsid w:val="00D97AC7"/>
    <w:rsid w:val="00D97B61"/>
    <w:rsid w:val="00DA0E1A"/>
    <w:rsid w:val="00DA2CBC"/>
    <w:rsid w:val="00DA2D3B"/>
    <w:rsid w:val="00DA5F77"/>
    <w:rsid w:val="00DA6217"/>
    <w:rsid w:val="00DA75AE"/>
    <w:rsid w:val="00DB1221"/>
    <w:rsid w:val="00DB1300"/>
    <w:rsid w:val="00DB193D"/>
    <w:rsid w:val="00DB21FF"/>
    <w:rsid w:val="00DB370D"/>
    <w:rsid w:val="00DB38C6"/>
    <w:rsid w:val="00DB39C2"/>
    <w:rsid w:val="00DB4B52"/>
    <w:rsid w:val="00DB669B"/>
    <w:rsid w:val="00DC07F3"/>
    <w:rsid w:val="00DC0E63"/>
    <w:rsid w:val="00DC2740"/>
    <w:rsid w:val="00DC27A2"/>
    <w:rsid w:val="00DC5555"/>
    <w:rsid w:val="00DC56B3"/>
    <w:rsid w:val="00DC704D"/>
    <w:rsid w:val="00DC71DA"/>
    <w:rsid w:val="00DD0C1B"/>
    <w:rsid w:val="00DD16EB"/>
    <w:rsid w:val="00DD287F"/>
    <w:rsid w:val="00DD2C74"/>
    <w:rsid w:val="00DD2FCF"/>
    <w:rsid w:val="00DD3C5D"/>
    <w:rsid w:val="00DD4C27"/>
    <w:rsid w:val="00DD54D4"/>
    <w:rsid w:val="00DD6F5B"/>
    <w:rsid w:val="00DD7D83"/>
    <w:rsid w:val="00DE0985"/>
    <w:rsid w:val="00DE0C36"/>
    <w:rsid w:val="00DE13CA"/>
    <w:rsid w:val="00DE3142"/>
    <w:rsid w:val="00DE35CC"/>
    <w:rsid w:val="00DE3CCB"/>
    <w:rsid w:val="00DE607E"/>
    <w:rsid w:val="00DE7F11"/>
    <w:rsid w:val="00DF05AC"/>
    <w:rsid w:val="00DF0779"/>
    <w:rsid w:val="00DF1151"/>
    <w:rsid w:val="00DF118F"/>
    <w:rsid w:val="00DF16C3"/>
    <w:rsid w:val="00DF19B2"/>
    <w:rsid w:val="00DF50C7"/>
    <w:rsid w:val="00DF6183"/>
    <w:rsid w:val="00E00A7F"/>
    <w:rsid w:val="00E01451"/>
    <w:rsid w:val="00E01C0E"/>
    <w:rsid w:val="00E01EEA"/>
    <w:rsid w:val="00E02BF3"/>
    <w:rsid w:val="00E03DB7"/>
    <w:rsid w:val="00E04F65"/>
    <w:rsid w:val="00E04FC7"/>
    <w:rsid w:val="00E061A8"/>
    <w:rsid w:val="00E062FC"/>
    <w:rsid w:val="00E06557"/>
    <w:rsid w:val="00E07755"/>
    <w:rsid w:val="00E07B04"/>
    <w:rsid w:val="00E07E08"/>
    <w:rsid w:val="00E10A2E"/>
    <w:rsid w:val="00E1190F"/>
    <w:rsid w:val="00E1495F"/>
    <w:rsid w:val="00E15471"/>
    <w:rsid w:val="00E15E1A"/>
    <w:rsid w:val="00E16842"/>
    <w:rsid w:val="00E17066"/>
    <w:rsid w:val="00E20B52"/>
    <w:rsid w:val="00E224E6"/>
    <w:rsid w:val="00E24A76"/>
    <w:rsid w:val="00E270CF"/>
    <w:rsid w:val="00E27DCF"/>
    <w:rsid w:val="00E27E36"/>
    <w:rsid w:val="00E30ACE"/>
    <w:rsid w:val="00E32107"/>
    <w:rsid w:val="00E36358"/>
    <w:rsid w:val="00E41142"/>
    <w:rsid w:val="00E42346"/>
    <w:rsid w:val="00E42512"/>
    <w:rsid w:val="00E42D7D"/>
    <w:rsid w:val="00E43ECE"/>
    <w:rsid w:val="00E45AB9"/>
    <w:rsid w:val="00E47769"/>
    <w:rsid w:val="00E47DE5"/>
    <w:rsid w:val="00E530AC"/>
    <w:rsid w:val="00E53E74"/>
    <w:rsid w:val="00E563DA"/>
    <w:rsid w:val="00E56BEA"/>
    <w:rsid w:val="00E56CB1"/>
    <w:rsid w:val="00E57F13"/>
    <w:rsid w:val="00E600E4"/>
    <w:rsid w:val="00E60FB9"/>
    <w:rsid w:val="00E61A9B"/>
    <w:rsid w:val="00E61EF9"/>
    <w:rsid w:val="00E62615"/>
    <w:rsid w:val="00E6327A"/>
    <w:rsid w:val="00E65D05"/>
    <w:rsid w:val="00E66484"/>
    <w:rsid w:val="00E67759"/>
    <w:rsid w:val="00E70CDA"/>
    <w:rsid w:val="00E71AA9"/>
    <w:rsid w:val="00E71C29"/>
    <w:rsid w:val="00E72813"/>
    <w:rsid w:val="00E729CD"/>
    <w:rsid w:val="00E73137"/>
    <w:rsid w:val="00E73CEC"/>
    <w:rsid w:val="00E74143"/>
    <w:rsid w:val="00E74CB5"/>
    <w:rsid w:val="00E74FF9"/>
    <w:rsid w:val="00E752D9"/>
    <w:rsid w:val="00E752DF"/>
    <w:rsid w:val="00E75976"/>
    <w:rsid w:val="00E76A6B"/>
    <w:rsid w:val="00E76F17"/>
    <w:rsid w:val="00E77D51"/>
    <w:rsid w:val="00E81669"/>
    <w:rsid w:val="00E8167E"/>
    <w:rsid w:val="00E82DA2"/>
    <w:rsid w:val="00E83209"/>
    <w:rsid w:val="00E83221"/>
    <w:rsid w:val="00E853B4"/>
    <w:rsid w:val="00E85E2A"/>
    <w:rsid w:val="00E871F6"/>
    <w:rsid w:val="00E87841"/>
    <w:rsid w:val="00E90CBE"/>
    <w:rsid w:val="00E927D5"/>
    <w:rsid w:val="00E93886"/>
    <w:rsid w:val="00E944E1"/>
    <w:rsid w:val="00E96DED"/>
    <w:rsid w:val="00EA0260"/>
    <w:rsid w:val="00EA053C"/>
    <w:rsid w:val="00EA1201"/>
    <w:rsid w:val="00EA13DD"/>
    <w:rsid w:val="00EA174F"/>
    <w:rsid w:val="00EA3303"/>
    <w:rsid w:val="00EA375B"/>
    <w:rsid w:val="00EA4CCB"/>
    <w:rsid w:val="00EA54B2"/>
    <w:rsid w:val="00EA6993"/>
    <w:rsid w:val="00EA78C7"/>
    <w:rsid w:val="00EA7939"/>
    <w:rsid w:val="00EB0574"/>
    <w:rsid w:val="00EB0607"/>
    <w:rsid w:val="00EB17BE"/>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5692"/>
    <w:rsid w:val="00EC6E5B"/>
    <w:rsid w:val="00EC79B9"/>
    <w:rsid w:val="00ED2AAF"/>
    <w:rsid w:val="00ED432F"/>
    <w:rsid w:val="00ED5970"/>
    <w:rsid w:val="00ED6E01"/>
    <w:rsid w:val="00ED752B"/>
    <w:rsid w:val="00ED765A"/>
    <w:rsid w:val="00EE00B3"/>
    <w:rsid w:val="00EE010C"/>
    <w:rsid w:val="00EE1637"/>
    <w:rsid w:val="00EE1C74"/>
    <w:rsid w:val="00EE42AD"/>
    <w:rsid w:val="00EE466E"/>
    <w:rsid w:val="00EE55AC"/>
    <w:rsid w:val="00EE5600"/>
    <w:rsid w:val="00EE5B7B"/>
    <w:rsid w:val="00EE6F44"/>
    <w:rsid w:val="00EE701C"/>
    <w:rsid w:val="00EE77BC"/>
    <w:rsid w:val="00EE7A5B"/>
    <w:rsid w:val="00EF0807"/>
    <w:rsid w:val="00EF13C9"/>
    <w:rsid w:val="00EF25A3"/>
    <w:rsid w:val="00EF2E40"/>
    <w:rsid w:val="00EF307A"/>
    <w:rsid w:val="00EF396E"/>
    <w:rsid w:val="00EF3ED1"/>
    <w:rsid w:val="00EF4732"/>
    <w:rsid w:val="00EF4ED1"/>
    <w:rsid w:val="00EF7876"/>
    <w:rsid w:val="00F0046C"/>
    <w:rsid w:val="00F005E9"/>
    <w:rsid w:val="00F014FE"/>
    <w:rsid w:val="00F01910"/>
    <w:rsid w:val="00F031D4"/>
    <w:rsid w:val="00F03A3F"/>
    <w:rsid w:val="00F03E48"/>
    <w:rsid w:val="00F0404E"/>
    <w:rsid w:val="00F04B33"/>
    <w:rsid w:val="00F04F91"/>
    <w:rsid w:val="00F05767"/>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2DD5"/>
    <w:rsid w:val="00F34A1C"/>
    <w:rsid w:val="00F35686"/>
    <w:rsid w:val="00F37A35"/>
    <w:rsid w:val="00F37EF3"/>
    <w:rsid w:val="00F41B59"/>
    <w:rsid w:val="00F42870"/>
    <w:rsid w:val="00F436E7"/>
    <w:rsid w:val="00F4578C"/>
    <w:rsid w:val="00F45D4C"/>
    <w:rsid w:val="00F45F29"/>
    <w:rsid w:val="00F46DE2"/>
    <w:rsid w:val="00F47998"/>
    <w:rsid w:val="00F47BBD"/>
    <w:rsid w:val="00F504D0"/>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76D1"/>
    <w:rsid w:val="00F676E8"/>
    <w:rsid w:val="00F67AA2"/>
    <w:rsid w:val="00F7211B"/>
    <w:rsid w:val="00F73B25"/>
    <w:rsid w:val="00F7401C"/>
    <w:rsid w:val="00F752B9"/>
    <w:rsid w:val="00F754EB"/>
    <w:rsid w:val="00F75B96"/>
    <w:rsid w:val="00F7759C"/>
    <w:rsid w:val="00F77621"/>
    <w:rsid w:val="00F77679"/>
    <w:rsid w:val="00F8031D"/>
    <w:rsid w:val="00F80438"/>
    <w:rsid w:val="00F812CC"/>
    <w:rsid w:val="00F82BB0"/>
    <w:rsid w:val="00F8601E"/>
    <w:rsid w:val="00F92C8A"/>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3565"/>
    <w:rsid w:val="00FB3E22"/>
    <w:rsid w:val="00FB450F"/>
    <w:rsid w:val="00FB539A"/>
    <w:rsid w:val="00FB5F66"/>
    <w:rsid w:val="00FB64DD"/>
    <w:rsid w:val="00FB6917"/>
    <w:rsid w:val="00FB6AA0"/>
    <w:rsid w:val="00FB6B29"/>
    <w:rsid w:val="00FB6C9B"/>
    <w:rsid w:val="00FB797B"/>
    <w:rsid w:val="00FB7B95"/>
    <w:rsid w:val="00FC0A3B"/>
    <w:rsid w:val="00FC1A57"/>
    <w:rsid w:val="00FC1CB8"/>
    <w:rsid w:val="00FC1E8E"/>
    <w:rsid w:val="00FC2AB6"/>
    <w:rsid w:val="00FC3E91"/>
    <w:rsid w:val="00FC461A"/>
    <w:rsid w:val="00FC47B0"/>
    <w:rsid w:val="00FC6416"/>
    <w:rsid w:val="00FC700E"/>
    <w:rsid w:val="00FC7578"/>
    <w:rsid w:val="00FC7C7B"/>
    <w:rsid w:val="00FC7E24"/>
    <w:rsid w:val="00FC7EC2"/>
    <w:rsid w:val="00FD278C"/>
    <w:rsid w:val="00FD3F0F"/>
    <w:rsid w:val="00FD40DC"/>
    <w:rsid w:val="00FD41DF"/>
    <w:rsid w:val="00FD4B64"/>
    <w:rsid w:val="00FD6216"/>
    <w:rsid w:val="00FD711B"/>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5F50"/>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microsoft.com/office/2016/09/relationships/commentsIds" Target="commentsIds.xml"/><Relationship Id="rId39" Type="http://schemas.microsoft.com/office/2018/08/relationships/commentsExtensible" Target="commentsExtensible.xml"/><Relationship Id="rId21" Type="http://schemas.openxmlformats.org/officeDocument/2006/relationships/image" Target="media/image7.png"/><Relationship Id="rId34" Type="http://schemas.openxmlformats.org/officeDocument/2006/relationships/hyperlink" Target="https://www.springer.com/journal/11258"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hyperlink" Target="http://www.publish.csiro.au/nid/126/aid/429.ht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openstreetmap.org/" TargetMode="External"/><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comments" Target="comments.xml"/><Relationship Id="rId32" Type="http://schemas.openxmlformats.org/officeDocument/2006/relationships/hyperlink" Target="https://www.publish.csiro.au/mf/forauthor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aps.gov.bc.ca/ess/hm/imap4m/" TargetMode="External"/><Relationship Id="rId31" Type="http://schemas.openxmlformats.org/officeDocument/2006/relationships/hyperlink" Target="https://onlinelibrary.wiley.com/page/journal/1654109x/homepage/forauth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sv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cdnsciencepub.com/journal/cjb/abou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schemas.microsoft.com/office/2006/documentManagement/types"/>
    <ds:schemaRef ds:uri="http://schemas.microsoft.com/office/infopath/2007/PartnerControls"/>
    <ds:schemaRef ds:uri="http://purl.org/dc/terms/"/>
    <ds:schemaRef ds:uri="360018dd-41eb-4458-b1d4-4b46a95a2b02"/>
    <ds:schemaRef ds:uri="http://purl.org/dc/dcmitype/"/>
    <ds:schemaRef ds:uri="http://schemas.microsoft.com/office/2006/metadata/properties"/>
    <ds:schemaRef ds:uri="http://schemas.openxmlformats.org/package/2006/metadata/core-properties"/>
    <ds:schemaRef ds:uri="8c008993-a31f-4b40-b1f3-88dd9c6e1924"/>
    <ds:schemaRef ds:uri="http://www.w3.org/XML/1998/namespace"/>
    <ds:schemaRef ds:uri="http://purl.org/dc/elements/1.1/"/>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A5120BEF-76A5-4601-BB56-C4653F121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23876</Words>
  <Characters>136099</Characters>
  <Application>Microsoft Office Word</Application>
  <DocSecurity>4</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cp:lastPrinted>2022-07-07T18:52:00Z</cp:lastPrinted>
  <dcterms:created xsi:type="dcterms:W3CDTF">2022-08-15T23:00:00Z</dcterms:created>
  <dcterms:modified xsi:type="dcterms:W3CDTF">2022-08-15T23:00:00Z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zotero-version="6.0.10"&gt;&lt;session id="cveV3dTt"/&gt;&lt;style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