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5D7B" w14:textId="16D4A6D7" w:rsidR="00825EA9" w:rsidRDefault="00825EA9" w:rsidP="00BC6239">
      <w:pPr>
        <w:pStyle w:val="Heading1"/>
      </w:pPr>
      <w:r>
        <w:t>Better in Results</w:t>
      </w:r>
      <w:r w:rsidR="009A048C">
        <w:t xml:space="preserve"> </w:t>
      </w:r>
    </w:p>
    <w:p w14:paraId="36B834DD" w14:textId="3F3E0F7E" w:rsidR="00825EA9" w:rsidRDefault="00825EA9" w:rsidP="00825EA9">
      <w:r>
        <w:t xml:space="preserve">The greatest loss of native species richness occurred in the Fescue assemblage, while nominal gains in exotic richness were found in all assemblages (Table </w:t>
      </w:r>
      <w:r>
        <w:rPr>
          <w:noProof/>
        </w:rPr>
        <w:t>7</w:t>
      </w:r>
      <w:r>
        <w:t>). The Fescue assemblage lost a total of 23 native species (net loss of 18 native species) between 1979 and 2019. Among the species lost from the assemblag</w:t>
      </w:r>
      <w:r w:rsidRPr="00F8601E">
        <w:t>e, 12 we</w:t>
      </w:r>
      <w:r>
        <w:t>re lost from all three assemblages (six forbs, six graminoids), or were never found in any other assemblage. Species gained include two woody species, and one each of forb, graminoid, and fern ally (</w:t>
      </w:r>
      <w:r>
        <w:rPr>
          <w:i/>
        </w:rPr>
        <w:t xml:space="preserve">Equisetum </w:t>
      </w:r>
      <w:proofErr w:type="spellStart"/>
      <w:r>
        <w:rPr>
          <w:i/>
        </w:rPr>
        <w:t>arvense</w:t>
      </w:r>
      <w:proofErr w:type="spellEnd"/>
      <w:r>
        <w:t>).</w:t>
      </w:r>
    </w:p>
    <w:p w14:paraId="4AE51DFA" w14:textId="52BBEB6B" w:rsidR="00BF6055" w:rsidRDefault="00BF6055" w:rsidP="00825EA9"/>
    <w:p w14:paraId="099340DF" w14:textId="7E28FD0C" w:rsidR="00BF6055" w:rsidRDefault="00BF6055" w:rsidP="00825EA9">
      <w:r>
        <w:t>There was a net zero gain of exotics</w:t>
      </w:r>
      <w:r w:rsidR="00D0542F">
        <w:t xml:space="preserve"> in the Fescue assemblage</w:t>
      </w:r>
      <w:r>
        <w:t xml:space="preserve">, however exotic RCG accounts for the greatest 2019 mean cover in the entire assemblage (25-50% cover). In the Bogbean assemblage, new exotic species include </w:t>
      </w:r>
      <w:r w:rsidRPr="00AC2BE4">
        <w:rPr>
          <w:i/>
        </w:rPr>
        <w:t>Phalaris arundinaceae</w:t>
      </w:r>
      <w:r>
        <w:t xml:space="preserve"> (reed canary grass, RCG) and </w:t>
      </w:r>
      <w:r w:rsidRPr="00AC2BE4">
        <w:rPr>
          <w:i/>
        </w:rPr>
        <w:t xml:space="preserve">Iris </w:t>
      </w:r>
      <w:proofErr w:type="spellStart"/>
      <w:r w:rsidRPr="00AC2BE4">
        <w:rPr>
          <w:i/>
        </w:rPr>
        <w:t>pseudacorus</w:t>
      </w:r>
      <w:proofErr w:type="spellEnd"/>
      <w:r>
        <w:t xml:space="preserve"> (yellow flag iris).</w:t>
      </w:r>
      <w:r w:rsidR="000573DC">
        <w:t xml:space="preserve"> </w:t>
      </w:r>
      <w:r>
        <w:t xml:space="preserve">Within the Sedge assemblage, there was a net loss of 3 native species, and net gain of 3 exotic species, including yellow flag and RCG. As of 2019, these species accounted for </w:t>
      </w:r>
      <w:r w:rsidRPr="00AC2BE4">
        <w:rPr>
          <w:u w:val="single"/>
        </w:rPr>
        <w:t>&lt;</w:t>
      </w:r>
      <w:r>
        <w:t xml:space="preserve"> 25% mean cover, but </w:t>
      </w:r>
      <w:r>
        <w:t>may be</w:t>
      </w:r>
      <w:r>
        <w:t xml:space="preserve"> of significant management concern.</w:t>
      </w:r>
    </w:p>
    <w:p w14:paraId="0580B830" w14:textId="3626C29C" w:rsidR="009A048C" w:rsidRDefault="009A048C" w:rsidP="00825EA9"/>
    <w:p w14:paraId="0804A4DB" w14:textId="3535124B" w:rsidR="009A048C" w:rsidRDefault="009A048C" w:rsidP="00825EA9">
      <w:r>
        <w:t xml:space="preserve">For example, in the Sedge assemblage both native keystone species </w:t>
      </w:r>
      <w:r w:rsidRPr="00AC2BE4">
        <w:rPr>
          <w:i/>
        </w:rPr>
        <w:t>Carex lyngbyei</w:t>
      </w:r>
      <w:r>
        <w:t xml:space="preserve"> and exotic grass </w:t>
      </w:r>
      <w:r w:rsidRPr="00AC2BE4">
        <w:rPr>
          <w:i/>
        </w:rPr>
        <w:t>Agrostis stolonifera</w:t>
      </w:r>
      <w:r>
        <w:t xml:space="preserve"> have decreased cover abundance from 1979-2019 (Figure 3), with each species losing ~25-35% cover abundance between 1979-2019. Meanwhile, exotic species </w:t>
      </w:r>
      <w:r w:rsidRPr="00AC2BE4">
        <w:rPr>
          <w:i/>
        </w:rPr>
        <w:t xml:space="preserve">Lythrum salicaria </w:t>
      </w:r>
      <w:r>
        <w:t xml:space="preserve">and </w:t>
      </w:r>
      <w:r w:rsidRPr="00AC2BE4">
        <w:rPr>
          <w:i/>
        </w:rPr>
        <w:t>Festuca arundinaceae</w:t>
      </w:r>
      <w:r>
        <w:t xml:space="preserve"> increased ~50% and 100%, respectively, in abundance (</w:t>
      </w:r>
      <w:r w:rsidRPr="00AC2BE4">
        <w:rPr>
          <w:u w:val="single"/>
        </w:rPr>
        <w:t>&lt;</w:t>
      </w:r>
      <w:r>
        <w:t xml:space="preserve"> 25% cover) by 2019 (Table 7). </w:t>
      </w:r>
      <w:commentRangeStart w:id="0"/>
      <w:proofErr w:type="gramStart"/>
      <w:r>
        <w:t>Similarly</w:t>
      </w:r>
      <w:commentRangeEnd w:id="0"/>
      <w:proofErr w:type="gramEnd"/>
      <w:r>
        <w:rPr>
          <w:rStyle w:val="CommentReference"/>
        </w:rPr>
        <w:commentReference w:id="0"/>
      </w:r>
      <w:r>
        <w:t xml:space="preserve">, in the Bogbean assemblage, cover abundance of native keystone species </w:t>
      </w:r>
      <w:r w:rsidRPr="00AC2BE4">
        <w:rPr>
          <w:i/>
        </w:rPr>
        <w:t>Menyanthes trifoliata</w:t>
      </w:r>
      <w:r>
        <w:t xml:space="preserve"> had declined ~21% (50-75% cover) by 2019, while cover of exotic </w:t>
      </w:r>
      <w:r w:rsidRPr="00AC2BE4">
        <w:rPr>
          <w:i/>
        </w:rPr>
        <w:t xml:space="preserve">Mentha aquatica </w:t>
      </w:r>
      <w:r>
        <w:t>had increased ~385% (~25-50%).</w:t>
      </w:r>
    </w:p>
    <w:p w14:paraId="2D22FE7D" w14:textId="77777777" w:rsidR="00825EA9" w:rsidRPr="00825EA9" w:rsidRDefault="00825EA9" w:rsidP="00825EA9"/>
    <w:p w14:paraId="2E9E831E" w14:textId="24271A08" w:rsidR="00BC6239" w:rsidRDefault="00BC6239" w:rsidP="00BC6239">
      <w:pPr>
        <w:pStyle w:val="Heading1"/>
      </w:pPr>
      <w:r>
        <w:t xml:space="preserve">Discussion </w:t>
      </w:r>
    </w:p>
    <w:p w14:paraId="1218DE6F" w14:textId="77777777" w:rsidR="00BC6239" w:rsidRDefault="00BC6239" w:rsidP="00BC6239">
      <w:pPr>
        <w:ind w:firstLine="720"/>
      </w:pPr>
      <w:r>
        <w:t xml:space="preserve">We find there have been substantive changes in species composition over time, indicating that despite conservation status and broad resilience of this ecosystem, regional pressures are influencing considerable shifts in the species composition within this habitat. We found three species most significantly characterizing the three main plant assemblages, Sedge, Fescue and Bogbean, have remained the same over the past 40 years, supporting our expectation that these characteristic species should not change in the absence of significant environmental disturbance. Overall, we observed a decline of native species richness, an increased richness and abundance of exotic species, leading to homogenization of cover abundance within assemblages, and greater dissimilarity between assemblages. These shifts in compositional trends are also reflected in the overall loss of secondary indicator species for the Sedge and Fescue assemblages. Our results present another compelling case example of broader global trends of species homogenization, and are of critical concern to local conservation objectives in the Fraser River Estuary for salmon, water birds, and shoreline stability. </w:t>
      </w:r>
    </w:p>
    <w:p w14:paraId="01E0C487" w14:textId="7DD59ED6" w:rsidR="00BC6239" w:rsidRPr="006268EF" w:rsidRDefault="00BC6239" w:rsidP="00095E0B">
      <w:pPr>
        <w:pStyle w:val="Heading2"/>
      </w:pPr>
      <w:r>
        <w:lastRenderedPageBreak/>
        <w:t>Predominant themes</w:t>
      </w:r>
      <w:r w:rsidR="00095E0B">
        <w:t>: native biodiversity loss</w:t>
      </w:r>
      <w:r w:rsidRPr="00E9788B">
        <w:t xml:space="preserve"> </w:t>
      </w:r>
      <w:r w:rsidR="00095E0B">
        <w:t xml:space="preserve">&amp; </w:t>
      </w:r>
      <w:r>
        <w:t xml:space="preserve">exotic species </w:t>
      </w:r>
      <w:commentRangeStart w:id="1"/>
      <w:r>
        <w:t>richness</w:t>
      </w:r>
      <w:commentRangeEnd w:id="1"/>
      <w:r>
        <w:rPr>
          <w:rStyle w:val="CommentReference"/>
          <w:rFonts w:asciiTheme="minorHAnsi" w:eastAsiaTheme="minorHAnsi" w:hAnsiTheme="minorHAnsi" w:cstheme="minorBidi"/>
          <w:color w:val="auto"/>
        </w:rPr>
        <w:commentReference w:id="1"/>
      </w:r>
    </w:p>
    <w:p w14:paraId="26E03374" w14:textId="77777777" w:rsidR="00BC6239" w:rsidRDefault="00BC6239" w:rsidP="00BC6239">
      <w:pPr>
        <w:ind w:firstLine="360"/>
      </w:pPr>
      <w:r>
        <w:t xml:space="preserve">Overall, native species contributing to floristic diversity have been lost, both in terms of richness and cover abundance. The biodiversity loss of native species richness may indicate loss of functional </w:t>
      </w:r>
      <w:commentRangeStart w:id="2"/>
      <w:r>
        <w:t xml:space="preserve">redundancy </w:t>
      </w:r>
      <w:commentRangeEnd w:id="2"/>
      <w:r w:rsidR="00FC20AB">
        <w:rPr>
          <w:rStyle w:val="CommentReference"/>
        </w:rPr>
        <w:commentReference w:id="2"/>
      </w:r>
      <w:r>
        <w:t xml:space="preserve">(and thus resilience) within the assemblage, and the marsh community as a whole. This trend was observed as decreasing alpha diversity and increasing beta diversity, which indicated increasing rarity of secondary species within each assemblage (Table </w:t>
      </w:r>
      <w:r>
        <w:rPr>
          <w:noProof/>
        </w:rPr>
        <w:t>2</w:t>
      </w:r>
      <w:r>
        <w:t xml:space="preserve">). </w:t>
      </w:r>
    </w:p>
    <w:p w14:paraId="29CF8870" w14:textId="77777777" w:rsidR="00BF6055" w:rsidRDefault="00BC6239" w:rsidP="00BC6239">
      <w:pPr>
        <w:ind w:firstLine="360"/>
      </w:pPr>
      <w:r>
        <w:t>In addition to overall loss of richness, it is worth noting the woody species gained represent alternative functional traits, and provide different habitat value than forbs and graminoids.</w:t>
      </w:r>
    </w:p>
    <w:p w14:paraId="0222BCC4" w14:textId="49A6834A" w:rsidR="00BC6239" w:rsidRDefault="00BC6239" w:rsidP="00BC6239">
      <w:pPr>
        <w:ind w:firstLine="360"/>
      </w:pPr>
      <w:r>
        <w:t>Although they</w:t>
      </w:r>
      <w:r w:rsidR="00BF6055">
        <w:t xml:space="preserve"> (</w:t>
      </w:r>
      <w:r w:rsidR="00BF6055" w:rsidRPr="00BF6055">
        <w:rPr>
          <w:i/>
        </w:rPr>
        <w:t>RCG/yellow flag – content moved to Results</w:t>
      </w:r>
      <w:r w:rsidR="00BF6055">
        <w:t>)</w:t>
      </w:r>
      <w:r>
        <w:t xml:space="preserve"> are presently </w:t>
      </w:r>
      <w:r w:rsidRPr="00AC2BE4">
        <w:rPr>
          <w:u w:val="single"/>
        </w:rPr>
        <w:t>&lt;</w:t>
      </w:r>
      <w:r>
        <w:t xml:space="preserve"> 25% mean 2019 cover, these species are notorious for quickly spreading to the point of near-exclusion of other species (especially natives) </w:t>
      </w:r>
      <w:r>
        <w:fldChar w:fldCharType="begin"/>
      </w:r>
      <w:r>
        <w:instrText xml:space="preserve"> ADDIN ZOTERO_ITEM CSL_CITATION {"citationID":"O2bSDqSM","properties":{"formattedCitation":"(Apfelbaum &amp; Sams, 1987; Sinks et al., 2021)","plainCitation":"(Apfelbaum &amp; Sams, 1987; Sinks et al., 2021)","noteIndex":0},"citationItems":[{"id":2514,"uris":["http://zotero.org/users/6092945/items/X7TP8YFS"],"itemData":{"id":2514,"type":"article-journal","container-title":"Natural Areas Journal","issue":"2","language":"en","page":"69-74","source":"Zotero","title":"Ecology and Control of Reed Canary Grass (Phalaris arundinacea L.)","volume":"7","author":[{"family":"Apfelbaum","given":"Stephen I"},{"family":"Sams","given":"Charles E"}],"issued":{"date-parts":[["1987"]]}},"label":"act"},{"id":2371,"uris":["http://zotero.org/users/6092945/items/2KQ4T5YR"],"itemData":{"id":2371,"type":"article-journal","abstract":"Reed canarygrass (Phalaris arundinacea) is invasive in temperate freshwater wetlands throughout the United States and Canada and presents challenges to restoring tidal freshwater wetlands. Methods for the prevention or elimination of reed canarygrass in palustrine wetlands are generally well established, typically involving herbicide application, mechanical treatments, prolonged inundation, or establishment of competitive plant species. These methods are often not suitable for the unique conditions in tidal wetlands and alternative strategies remain poorly understood. Prolonging inundation of tidal wetlands requires a loss of habitat forming processes, connectivity, and other functions. Treatments such as mowing, discing, or fire are not feasible in the perpetually wet conditions of tidal wetlands. Restoration practitioners aiming to design self-sustaining wetlands in the lower Columbia River estuary and the U.S. Pacific Coast have found that reed canarygrass is widespread and quick to establish post-restoration creating a management burden and impacting restoration goals. Here we report the results of a comprehensive effort to develop methods for control in tidal wetlands through systematic review of the scientific literature, interviews with experienced practitioners, and field observations at nine Pacific Northwest sites. The review framework evaluated key environmental conditions affecting reed canarygrass, control methods, and practical considerations. Findings support an integrated long-term control strategy at the largest possible scale to establish effective and self-sustaining control. Appropriate and practical strategies for tidal freshwater wetlands include implementing control pre-restoration to suppress existing populations; topographic modification such as scrape-downs and mounds to support competitiveness of desired vegetation communities; seeding or planting strong native competitors; limiting nutrient availability; and periodic, targeted control to limit reinvasion. These strategies are supported by the study, but long-term results are generally not available. Formal field experiments are recommended by the authors to better evaluate factors that influence reed canarygrass control in tidal freshwater wetlands.","container-title":"Natural Areas Journal","DOI":"10.3375/043.041.0303","ISSN":"0885-8608, 2162-4399","issue":"3","journalAbbreviation":"naar","note":"publisher: Natural Areas Association","page":"172-185","source":"bioone.org","title":"Assessment of Methods to Control Invasive Reed Canarygrass (Phalaris arundinacea) in Tidal Freshwater Wetlands","volume":"41","author":[{"family":"Sinks","given":"Ian A."},{"family":"Borde","given":"Amy B."},{"family":"Diefenderfer","given":"Heida L."},{"family":"Karnezis","given":"Jason P."}],"issued":{"date-parts":[["2021",8]]}},"label":"act"}],"schema":"https://github.com/citation-style-language/schema/raw/master/csl-citation.json"} </w:instrText>
      </w:r>
      <w:r>
        <w:fldChar w:fldCharType="separate"/>
      </w:r>
      <w:r w:rsidRPr="00FF5F50">
        <w:rPr>
          <w:rFonts w:ascii="Calibri" w:hAnsi="Calibri" w:cs="Calibri"/>
        </w:rPr>
        <w:t>(</w:t>
      </w:r>
      <w:proofErr w:type="spellStart"/>
      <w:r w:rsidRPr="00FF5F50">
        <w:rPr>
          <w:rFonts w:ascii="Calibri" w:hAnsi="Calibri" w:cs="Calibri"/>
        </w:rPr>
        <w:t>Apfelbaum</w:t>
      </w:r>
      <w:proofErr w:type="spellEnd"/>
      <w:r w:rsidRPr="00FF5F50">
        <w:rPr>
          <w:rFonts w:ascii="Calibri" w:hAnsi="Calibri" w:cs="Calibri"/>
        </w:rPr>
        <w:t xml:space="preserve"> &amp; </w:t>
      </w:r>
      <w:proofErr w:type="spellStart"/>
      <w:r w:rsidRPr="00FF5F50">
        <w:rPr>
          <w:rFonts w:ascii="Calibri" w:hAnsi="Calibri" w:cs="Calibri"/>
        </w:rPr>
        <w:t>Sams</w:t>
      </w:r>
      <w:proofErr w:type="spellEnd"/>
      <w:r w:rsidRPr="00FF5F50">
        <w:rPr>
          <w:rFonts w:ascii="Calibri" w:hAnsi="Calibri" w:cs="Calibri"/>
        </w:rPr>
        <w:t>, 1987; Sinks et al., 2021)</w:t>
      </w:r>
      <w:r>
        <w:fldChar w:fldCharType="end"/>
      </w:r>
      <w:r>
        <w:t xml:space="preserve"> These results reflect broader global trends of biodiversity loss paired with exotic invasion</w:t>
      </w:r>
      <w:r w:rsidRPr="00FF5F50">
        <w:t>. The unknown consequences of this invasion and native species loss may be creating broader instability within the Fraser River Estuary ecosystem through fragmented or lost propagule dispersal networks, and altered trophic cascades such as pollinator networks or primary production.</w:t>
      </w:r>
      <w:r>
        <w:t xml:space="preserve">  </w:t>
      </w:r>
    </w:p>
    <w:p w14:paraId="09B06A99" w14:textId="77777777" w:rsidR="00BC6239" w:rsidRDefault="00BC6239" w:rsidP="00BC6239">
      <w:pPr>
        <w:pStyle w:val="Heading3"/>
      </w:pPr>
      <w:r>
        <w:t>Cover abundance homogenization within assemblages; heterogeneity between assemblages</w:t>
      </w:r>
    </w:p>
    <w:p w14:paraId="4FF61652" w14:textId="77777777" w:rsidR="00BC6239" w:rsidRPr="0058714D" w:rsidRDefault="00BC6239" w:rsidP="00BC6239">
      <w:pPr>
        <w:ind w:firstLine="360"/>
        <w:rPr>
          <w:strike/>
        </w:rPr>
      </w:pPr>
      <w:commentRangeStart w:id="3"/>
      <w:commentRangeStart w:id="4"/>
      <w:r w:rsidRPr="0058714D">
        <w:rPr>
          <w:strike/>
        </w:rPr>
        <w:t xml:space="preserve">We </w:t>
      </w:r>
      <w:commentRangeEnd w:id="3"/>
      <w:r w:rsidRPr="0058714D">
        <w:rPr>
          <w:rStyle w:val="CommentReference"/>
          <w:strike/>
        </w:rPr>
        <w:commentReference w:id="3"/>
      </w:r>
      <w:commentRangeEnd w:id="4"/>
      <w:r w:rsidRPr="0058714D">
        <w:rPr>
          <w:rStyle w:val="CommentReference"/>
          <w:strike/>
        </w:rPr>
        <w:commentReference w:id="4"/>
      </w:r>
      <w:r w:rsidRPr="0058714D">
        <w:rPr>
          <w:strike/>
        </w:rPr>
        <w:t xml:space="preserve">found that species cover has become more homogenized within assemblages, but more distinct between assemblages. That is, plots were more similar in species cover abundance within an assemblage, but increasingly dissimilar between assemblages (Figure </w:t>
      </w:r>
      <w:r w:rsidRPr="0058714D">
        <w:rPr>
          <w:strike/>
          <w:noProof/>
        </w:rPr>
        <w:t>2</w:t>
      </w:r>
      <w:r w:rsidRPr="0058714D">
        <w:rPr>
          <w:strike/>
        </w:rPr>
        <w:t xml:space="preserve">), indicating sharper contrasts in species compositional abundance between assemblages. The key driver of this trend was greater dominance in cover abundance by fewer species (Table </w:t>
      </w:r>
      <w:r w:rsidRPr="0058714D">
        <w:rPr>
          <w:strike/>
          <w:noProof/>
        </w:rPr>
        <w:t>1</w:t>
      </w:r>
      <w:r w:rsidRPr="0058714D">
        <w:rPr>
          <w:strike/>
        </w:rPr>
        <w:t xml:space="preserve">), while presence and cover abundance of ‘rare’ species became rarer. </w:t>
      </w:r>
    </w:p>
    <w:p w14:paraId="2EC3351A" w14:textId="77777777" w:rsidR="00BC6239" w:rsidRDefault="00BC6239" w:rsidP="00BC6239">
      <w:pPr>
        <w:ind w:firstLine="360"/>
      </w:pPr>
      <w:commentRangeStart w:id="5"/>
      <w:commentRangeStart w:id="6"/>
      <w:r>
        <w:t>It</w:t>
      </w:r>
      <w:commentRangeEnd w:id="5"/>
      <w:r>
        <w:rPr>
          <w:rStyle w:val="CommentReference"/>
        </w:rPr>
        <w:commentReference w:id="5"/>
      </w:r>
      <w:commentRangeEnd w:id="6"/>
      <w:r w:rsidR="0058714D">
        <w:rPr>
          <w:rStyle w:val="CommentReference"/>
        </w:rPr>
        <w:commentReference w:id="6"/>
      </w:r>
      <w:r>
        <w:t xml:space="preserve"> is worth noting changes in cover abundance for </w:t>
      </w:r>
      <w:r>
        <w:rPr>
          <w:i/>
        </w:rPr>
        <w:t>Sidalcea hendersonii</w:t>
      </w:r>
      <w:r>
        <w:t>, a species of special concern (blue-listed) under the Canadian Species at Risk Act, which may inform conservation best practices. Cover abundance of the species was greatest in the Fescue assemblage in 1979, but</w:t>
      </w:r>
      <w:r w:rsidRPr="003B171D">
        <w:rPr>
          <w:i/>
        </w:rPr>
        <w:t xml:space="preserve"> </w:t>
      </w:r>
      <w:r>
        <w:t>decreased by 46% in 2019. However, it increased ~140% in the Sedge assemblage (</w:t>
      </w:r>
      <w:r w:rsidRPr="003B171D">
        <w:rPr>
          <w:u w:val="single"/>
        </w:rPr>
        <w:t>&lt;</w:t>
      </w:r>
      <w:r>
        <w:t xml:space="preserve"> 25% cover in 2019). It is difficult to say whether shifting abiotic conditions or encroaching exotic species such as RCG (~1430% increase to 25-50% plot cover in 2019) were responsible for the decline in </w:t>
      </w:r>
      <w:r>
        <w:rPr>
          <w:i/>
        </w:rPr>
        <w:t>S. hendersonii</w:t>
      </w:r>
      <w:r>
        <w:t xml:space="preserve"> abundance in the Fescue assemblage. However, these trends may represent an opportunity for new research to inform better conservation strategies. </w:t>
      </w:r>
    </w:p>
    <w:p w14:paraId="11D8F187" w14:textId="761FC086" w:rsidR="00BC6239" w:rsidRDefault="00BC6239" w:rsidP="00BC6239">
      <w:pPr>
        <w:ind w:firstLine="360"/>
      </w:pPr>
      <w:r>
        <w:t>Surprisingly, cover abundance of many the assemblage-dominant species have decreased over time. Overall, the ratio of native to exotic cover within assemblages is decreasing, resulting in greater proportional cover abundance of exotic species (</w:t>
      </w:r>
      <w:r w:rsidRPr="00FC700E">
        <w:t xml:space="preserve">Figure </w:t>
      </w:r>
      <w:r w:rsidRPr="00FC700E">
        <w:rPr>
          <w:noProof/>
        </w:rPr>
        <w:t>5</w:t>
      </w:r>
      <w:r w:rsidRPr="00FC700E">
        <w:t>b</w:t>
      </w:r>
      <w:r>
        <w:t xml:space="preserve">). </w:t>
      </w:r>
      <w:r w:rsidRPr="00457D2C">
        <w:t xml:space="preserve">This indicates certain exotic species are becoming more abundant within assemblages, however few species (native or exotic) represent the majority of cover within the assemblage.  </w:t>
      </w:r>
    </w:p>
    <w:p w14:paraId="4AB67BAB" w14:textId="77777777" w:rsidR="00BC6239" w:rsidRDefault="00BC6239" w:rsidP="00BC6239">
      <w:pPr>
        <w:pStyle w:val="Heading3"/>
      </w:pPr>
      <w:r>
        <w:t xml:space="preserve">Shifts in secondary indicator species </w:t>
      </w:r>
    </w:p>
    <w:p w14:paraId="55B32EBB" w14:textId="77777777" w:rsidR="00BC6239" w:rsidRPr="002D4CD0" w:rsidRDefault="00BC6239" w:rsidP="00BC6239">
      <w:pPr>
        <w:spacing w:before="240"/>
        <w:ind w:firstLine="360"/>
        <w:rPr>
          <w:strike/>
        </w:rPr>
      </w:pPr>
      <w:commentRangeStart w:id="7"/>
      <w:r w:rsidRPr="002D4CD0">
        <w:rPr>
          <w:strike/>
        </w:rPr>
        <w:t xml:space="preserve">The </w:t>
      </w:r>
      <w:commentRangeEnd w:id="7"/>
      <w:r w:rsidRPr="002D4CD0">
        <w:rPr>
          <w:rStyle w:val="CommentReference"/>
          <w:strike/>
        </w:rPr>
        <w:commentReference w:id="7"/>
      </w:r>
      <w:r w:rsidRPr="002D4CD0">
        <w:rPr>
          <w:strike/>
        </w:rPr>
        <w:t xml:space="preserve">species indicator analysis of clustered assemblages showed that assemblage-defining species (Bogbean, Fescue, Sedge) remained consistent, however there were overall losses in indicator species, and few of those indicator species were consistently represented in the analysis over time. For example, the Sedge and Fescue assemblages had the greatest losses of assemblage indicator species. The Fescue </w:t>
      </w:r>
      <w:r w:rsidRPr="002D4CD0">
        <w:rPr>
          <w:strike/>
        </w:rPr>
        <w:lastRenderedPageBreak/>
        <w:t xml:space="preserve">assemblage included six indicator species in 1979, but only three in 2019, while the Sedge assemblage had three species in 1979, but only one in 2019. In both assemblages, the only species that remained the same ‘indicators’ were the assemblage-defining species </w:t>
      </w:r>
      <w:r w:rsidRPr="002D4CD0">
        <w:rPr>
          <w:i/>
          <w:strike/>
        </w:rPr>
        <w:t>Carex lyngbyei</w:t>
      </w:r>
      <w:r w:rsidRPr="002D4CD0">
        <w:rPr>
          <w:strike/>
        </w:rPr>
        <w:t xml:space="preserve"> (sedge), and </w:t>
      </w:r>
      <w:r w:rsidRPr="002D4CD0">
        <w:rPr>
          <w:i/>
          <w:strike/>
        </w:rPr>
        <w:t>Festuca arundinaceae</w:t>
      </w:r>
      <w:r w:rsidRPr="002D4CD0">
        <w:rPr>
          <w:strike/>
        </w:rPr>
        <w:t>, (fescue). However, in the Fescue assemblage RCG (</w:t>
      </w:r>
      <w:r w:rsidRPr="002D4CD0">
        <w:rPr>
          <w:i/>
          <w:strike/>
        </w:rPr>
        <w:t>Phalaris arundinaceae</w:t>
      </w:r>
      <w:r w:rsidRPr="002D4CD0">
        <w:rPr>
          <w:strike/>
        </w:rPr>
        <w:t xml:space="preserve">) has replaced </w:t>
      </w:r>
      <w:r w:rsidRPr="002D4CD0">
        <w:rPr>
          <w:i/>
          <w:strike/>
        </w:rPr>
        <w:t xml:space="preserve">F. arundinaceae </w:t>
      </w:r>
      <w:r w:rsidRPr="002D4CD0">
        <w:rPr>
          <w:strike/>
        </w:rPr>
        <w:t xml:space="preserve">as the most significant indicator species. </w:t>
      </w:r>
    </w:p>
    <w:p w14:paraId="56148D14" w14:textId="77777777" w:rsidR="00BC6239" w:rsidRDefault="00BC6239" w:rsidP="00BC6239">
      <w:pPr>
        <w:spacing w:before="240"/>
        <w:ind w:firstLine="360"/>
      </w:pPr>
      <w:commentRangeStart w:id="8"/>
      <w:commentRangeStart w:id="9"/>
      <w:r>
        <w:t xml:space="preserve">The </w:t>
      </w:r>
      <w:commentRangeEnd w:id="8"/>
      <w:r>
        <w:rPr>
          <w:rStyle w:val="CommentReference"/>
        </w:rPr>
        <w:commentReference w:id="8"/>
      </w:r>
      <w:commentRangeEnd w:id="9"/>
      <w:r w:rsidR="002D4CD0">
        <w:rPr>
          <w:rStyle w:val="CommentReference"/>
        </w:rPr>
        <w:commentReference w:id="9"/>
      </w:r>
      <w:r>
        <w:t>identity of the shifting indicator species may offer clues to changing abiotic conditions or functional traits. For example, the indicator species analysis for the Sedge assemblage in 1979 included indicators of highly saturated soils (</w:t>
      </w:r>
      <w:r>
        <w:rPr>
          <w:i/>
        </w:rPr>
        <w:t>Sagittaria latifolia, Schoenoplectus tabernaemontani</w:t>
      </w:r>
      <w:r>
        <w:t>), but in 1999 the assemblage indicators included species tolerant of drier conditions (</w:t>
      </w:r>
      <w:r>
        <w:rPr>
          <w:i/>
        </w:rPr>
        <w:t>Agrostis stolonifera, Impatiens capensis</w:t>
      </w:r>
      <w:r>
        <w:t>).</w:t>
      </w:r>
      <w:commentRangeStart w:id="10"/>
      <w:r>
        <w:t xml:space="preserve"> Alternatively, if the shifts in assemblage indicator species do not readily point to functional traits or abiotic factors, they may be more indicative of the likelihood of high interannual variability in the assemblage or broader community despite the perennial life history of many of the species.</w:t>
      </w:r>
      <w:r w:rsidRPr="00DC411A">
        <w:rPr>
          <w:strike/>
        </w:rPr>
        <w:t xml:space="preserve"> For example, the number of indicator species for the Bogbean assemblage varied across time, with 6, 10, and 6 species in 1979, 1999, and 2019, respectively.</w:t>
      </w:r>
      <w:r>
        <w:t xml:space="preserve"> In the Fescue assemblage, woody willow species </w:t>
      </w:r>
      <w:r>
        <w:rPr>
          <w:i/>
        </w:rPr>
        <w:t>Salix lasiandra</w:t>
      </w:r>
      <w:r>
        <w:t xml:space="preserve"> was an indicator species in 1979, and therefore one might expect a succession of riparian fringe over time. By 1999 the species was no longer a significant indicator species, which either suggests a long-term shift in environmental factors making the habitat less hospitable to willow (such as encroachment of RCG), or that environmental factors shift so frequently that indicator species will shift accordingly on faster timescales.  </w:t>
      </w:r>
      <w:commentRangeEnd w:id="10"/>
      <w:r w:rsidR="00DC411A">
        <w:rPr>
          <w:rStyle w:val="CommentReference"/>
        </w:rPr>
        <w:commentReference w:id="10"/>
      </w:r>
    </w:p>
    <w:p w14:paraId="6D752D9A" w14:textId="77777777" w:rsidR="00BC6239" w:rsidRDefault="00BC6239" w:rsidP="00BC6239">
      <w:pPr>
        <w:ind w:firstLine="360"/>
      </w:pPr>
      <w:r>
        <w:t xml:space="preserve">The turnover of secondary indicator species may simply represent dynamic trends in compositional abundance. However, greater homogeneity of cover abundance within assemblages, and greater compositional abundance distinction between assemblages may result directly from overall loss of native floristic richness. These trends of high turnover and loss of richness may indicate greater susceptibility to invasion </w:t>
      </w:r>
      <w:r w:rsidRPr="008D464D">
        <w:rPr>
          <w:rFonts w:ascii="Calibri" w:hAnsi="Calibri" w:cs="Calibri"/>
          <w:szCs w:val="24"/>
        </w:rPr>
        <w:t>(</w:t>
      </w:r>
      <w:proofErr w:type="spellStart"/>
      <w:r w:rsidRPr="008D464D">
        <w:rPr>
          <w:rFonts w:ascii="Calibri" w:hAnsi="Calibri" w:cs="Calibri"/>
          <w:szCs w:val="24"/>
        </w:rPr>
        <w:t>Kuiters</w:t>
      </w:r>
      <w:proofErr w:type="spellEnd"/>
      <w:r w:rsidRPr="008D464D">
        <w:rPr>
          <w:rFonts w:ascii="Calibri" w:hAnsi="Calibri" w:cs="Calibri"/>
          <w:szCs w:val="24"/>
        </w:rPr>
        <w:t xml:space="preserve">, </w:t>
      </w:r>
      <w:r>
        <w:rPr>
          <w:rFonts w:ascii="Calibri" w:hAnsi="Calibri" w:cs="Calibri"/>
          <w:i/>
          <w:szCs w:val="24"/>
        </w:rPr>
        <w:t>et al.</w:t>
      </w:r>
      <w:r w:rsidRPr="008D464D">
        <w:rPr>
          <w:rFonts w:ascii="Calibri" w:hAnsi="Calibri" w:cs="Calibri"/>
          <w:szCs w:val="24"/>
        </w:rPr>
        <w:t>, 2009)</w:t>
      </w:r>
      <w:r>
        <w:rPr>
          <w:rFonts w:ascii="Calibri" w:hAnsi="Calibri" w:cs="Calibri"/>
          <w:szCs w:val="24"/>
        </w:rPr>
        <w:t xml:space="preserve">, and thus a loss of resistance over time to exotic species encroachment.  </w:t>
      </w:r>
    </w:p>
    <w:p w14:paraId="43635805" w14:textId="77777777" w:rsidR="00BC6239" w:rsidRDefault="00BC6239" w:rsidP="00BC6239">
      <w:pPr>
        <w:pStyle w:val="Heading2"/>
      </w:pPr>
      <w:r>
        <w:t>Potential mechanisms</w:t>
      </w:r>
    </w:p>
    <w:p w14:paraId="55348105" w14:textId="77777777" w:rsidR="00BC6239" w:rsidRDefault="00BC6239" w:rsidP="00BC6239">
      <w:pPr>
        <w:ind w:firstLine="720"/>
      </w:pPr>
      <w:r>
        <w:t xml:space="preserve">We propose several interacting mechanisms are likely responsible for the observed changes. These mechanisms include fragmentation of remnant tidal wetlands (loss of native propagules) and increased exotic abundance from municipal and agricultural settlement (introduction of exotic propagules), combined with altered sedimentation processes and resulting edaphic conditions. </w:t>
      </w:r>
    </w:p>
    <w:p w14:paraId="5A46886A" w14:textId="77777777" w:rsidR="00BC6239" w:rsidRDefault="00BC6239" w:rsidP="00BC6239">
      <w:pPr>
        <w:ind w:firstLine="720"/>
      </w:pPr>
      <w:r>
        <w:t xml:space="preserve">Local colonization and extinction dependent on the local, but also regional propagule pool. At the local scale, if secondary species are becoming rarer due to local extinction, this results in loss of local propagative inputs to the habitat. However, local native species loss may be rescued by dispersal through regional aquatic networks. If similar habitats within the estuarine ecosystem are lost to the point where distance between patches exceeds propagule dispersal distance </w:t>
      </w:r>
      <w:r>
        <w:fldChar w:fldCharType="begin"/>
      </w:r>
      <w:r>
        <w:instrText xml:space="preserve"> ADDIN ZOTERO_ITEM CSL_CITATION {"citationID":"AehiFwRj","properties":{"formattedCitation":"(Shi, Shao, Gualtieri, Purnama, &amp; Cui, 2020)","plainCitation":"(Shi, Shao, Gualtieri, Purnama, &amp; Cui, 2020)","noteIndex":0},"citationItems":[{"id":1291,"uris":["http://zotero.org/users/6092945/items/7352ESPA"],"itemData":{"id":1291,"type":"article-journal","abstract":"Seed dispersal is a primary factor influencing plant community development in salt-marshes. However, studies on seed dispersal in marsh-channel system are relatively scarce, and relevant mathematical modelling is particularly lacking. In this study, we developed a one-dimensional advection–dispersion model to explore the patterns of long-distance floating seed dispersal in tidal channels. Oscillatory tidal current velocity and water depth were assumed to represent the tidal effects. An exponential decay coefficient was introduced to account for the loss of floating seeds due to water-logged deposition and retention by trapping agents along the channel banks. An analytical solution in integral form was derived using the method of Green's function. The developed model was applied to simulate floating Spartina densiflora seed dispersal in a real tidal channel. Seed floating duration and seed collection data reported in the literature were used for model calibration and validation. The leptokurtic seed dispersal kernel in the marsh-channel system was quantified for the first time using the predicted spatio-temporal distribution of deposited and retained seeds. The range of the long-distance floating seed dispersal and its distribution concentration that have important implications for salt marsh protection and restoration activities were evaluated through statistical parameters such as the centroid displacement and the variance of the floating seed cloud and floating seed concentration contours. The developed model provides a useful tool for ecological management of tidal marshes, as data on the long-distance floating seed dispersal are rarely available and hard to gather.","container-title":"Ecohydrology","DOI":"https://doi.org/10.1002/eco.2157","ISSN":"1936-0592","issue":"1","language":"en","license":"© 2019 John Wiley &amp; Sons, Ltd.","page":"e2157","source":"Wiley Online Library","title":"Modelling long-distance floating seed dispersal in salt marsh tidal channels","volume":"13","author":[{"family":"Shi","given":"Wei"},{"family":"Shao","given":"Dongdong"},{"family":"Gualtieri","given":"Carlo"},{"family":"Purnama","given":"Anton"},{"family":"Cui","given":"Baoshan"}],"issued":{"date-parts":[["2020"]]}}}],"schema":"https://github.com/citation-style-language/schema/raw/master/csl-citation.json"} </w:instrText>
      </w:r>
      <w:r>
        <w:fldChar w:fldCharType="separate"/>
      </w:r>
      <w:r w:rsidRPr="00EC470A">
        <w:rPr>
          <w:rFonts w:ascii="Calibri" w:hAnsi="Calibri" w:cs="Calibri"/>
        </w:rPr>
        <w:t xml:space="preserve">(Shi, </w:t>
      </w:r>
      <w:r>
        <w:rPr>
          <w:rFonts w:ascii="Calibri" w:hAnsi="Calibri" w:cs="Calibri"/>
        </w:rPr>
        <w:t>et al.</w:t>
      </w:r>
      <w:r w:rsidRPr="00EC470A">
        <w:rPr>
          <w:rFonts w:ascii="Calibri" w:hAnsi="Calibri" w:cs="Calibri"/>
        </w:rPr>
        <w:t>, 2020)</w:t>
      </w:r>
      <w:r>
        <w:fldChar w:fldCharType="end"/>
      </w:r>
      <w:r>
        <w:t xml:space="preserve">, then species colonization within the ecosystem is rare or lost. Similarly, if exotic species are more prevalent throughout the regional dispersal network, then there is a greater chance of exotic species introduction over native within a local marsh community. Ladner Marsh was historically described as being high in floristic diversity </w:t>
      </w:r>
      <w:r>
        <w:fldChar w:fldCharType="begin"/>
      </w:r>
      <w:r>
        <w:instrText xml:space="preserve"> ADDIN ZOTERO_ITEM CSL_CITATION {"citationID":"nM90fTp0","properties":{"formattedCitation":"(Bradfield &amp; Porter, 1982)","plainCitation":"(Bradfield &amp; Porter, 1982)","noteIndex":0},"citationItems":[{"id":480,"uris":["http://zotero.org/users/6092945/items/AA4XA4EZ"],"itemData":{"id":480,"type":"article-journal","abstract":"Vegetation data from a predominantly freshwater-influenced tidal marsh in the Fraser River estuary are analysed to investigate different properties of community structure. Three main vegetation zones are recognized, dominated respectively by Carex lyngbyei, Festuca arundinacea, and Menyanthes trifoliata. The zones occupy parts of the marsh which differ primarily in hydrological regime: the Carex zone occurs in regularly flooded and drained areas, mainly along tidal creeks; the Festuca zone occurs on infrequently flooded levees; the Menyanthes zone occurs in areas of impeded drainage, mainly between tidal creeks.Principal components analysis and reciprocal averaging gave similar results except for a 90° rotation of ordination axes. The combined results from cluster analysis and ordination give a useful summary of the marsh vegetation structure. The evaluation of various diversity measures including species richness, species density, beta diversity, and species evenness provided a useful basis for making co..., Les données sur la végétation d'un marais de marée principalement influencé par l'eau douce de l'estuaire du fleuve Fraser sont analysées afin d'étudier les diverses propriétés de la structure des communautés. Trois principales zones de végétation sont dominées respectivement par Carex lyngbyei, Festuca arundinacea, et Menyanthes trifoliata. Ces trois zones occupent des parties du marais qui diffèrent surtout par leur régime hydrologique : la zone à Carex occupe les parties inondées et exondées régulièrement, principalement le long des ruisseaux de marée; la zone à Festuca occupe les levées rarement inondées; la zone à Menyanthes occupe les parties mal drainées, principalement entre les ruisseaux de marée.L'analyse en composantes principales et l'analyse des correspondances ont donné des résultats semblables, sauf pour une rotation de 90° des axes d'ordination. Les résultats combinés d'une analyse des groupements et des ordinations semblent offrir une bonne représentation de la structure de la végétation ...","container-title":"Canadian Journal of Botany","DOI":"10.1139/b82-060","ISSN":"0008-4026","issue":"4","journalAbbreviation":"Can. J. Bot.","page":"440-451","source":"NRC Research Press","title":"Vegetation structure and diversity components of a Fraser estuary tidal marsh","volume":"60","author":[{"family":"Bradfield","given":"Gary E."},{"family":"Porter","given":"Glendon L."}],"issued":{"date-parts":[["1982",4,1]]}}}],"schema":"https://github.com/citation-style-language/schema/raw/master/csl-citation.json"} </w:instrText>
      </w:r>
      <w:r>
        <w:fldChar w:fldCharType="separate"/>
      </w:r>
      <w:r w:rsidRPr="00E83209">
        <w:rPr>
          <w:rFonts w:ascii="Calibri" w:hAnsi="Calibri" w:cs="Calibri"/>
        </w:rPr>
        <w:t>(Bradfield &amp; Porter, 1982)</w:t>
      </w:r>
      <w:r>
        <w:fldChar w:fldCharType="end"/>
      </w:r>
      <w:r>
        <w:t xml:space="preserve">. </w:t>
      </w:r>
      <w:commentRangeStart w:id="11"/>
      <w:r w:rsidRPr="004D6069">
        <w:rPr>
          <w:strike/>
        </w:rPr>
        <w:t xml:space="preserve">We found this site is losing total species diversity, and becoming homogenized in terms of species cover. </w:t>
      </w:r>
      <w:commentRangeEnd w:id="11"/>
      <w:r w:rsidRPr="004D6069">
        <w:rPr>
          <w:rStyle w:val="CommentReference"/>
          <w:strike/>
        </w:rPr>
        <w:commentReference w:id="11"/>
      </w:r>
      <w:r>
        <w:t xml:space="preserve">This may indicate that a source of native propagules is being lost in the Fraser River Estuary dispersal network, and/or abundance of exotic propagules are more readily available, and thus more competitive in the environment. As exotic species increase in </w:t>
      </w:r>
      <w:r>
        <w:lastRenderedPageBreak/>
        <w:t xml:space="preserve">presence and abundance, they co-opt space and resources, increasing stress upon the native ecosystem. This stress feedback loop further shifts community composition and function, and over time consequential abiotic shifts may be altering the seed recruitment niches to favor exotics and limit native species recruitment </w:t>
      </w:r>
      <w:r>
        <w:fldChar w:fldCharType="begin"/>
      </w:r>
      <w:r>
        <w:instrText xml:space="preserve"> ADDIN ZOTERO_ITEM CSL_CITATION {"citationID":"sq1KXjqr","properties":{"formattedCitation":"(S. L. Lane, 2022)","plainCitation":"(S. L. Lane, 2022)","dontUpdate":true,"noteIndex":0},"citationItems":[{"id":2671,"uris":["http://zotero.org/users/6092945/items/XFPV62BJ"],"itemData":{"id":2671,"type":"article-journal","abstract":"Premise Seed recruitment niches along estuarine elevation gradients are seldom experimentally field-tested under tidal regimes of the Pacific Northwest of North America. Addressing this knowledge gap is important to better understand estuary restoration and plant community response to sea level rise. Methods Germination was tested in marsh organ mesocosms across an elevation gradient (0.5–1.7 m above mean sea level). Seeds were sown on sterile peat moss, and the tops of pipes were secured with horticultural “frost cloth” to ensure no experimental seeds were washed out and no new seeds were introduced. The trials tested artificial and overwinter chilling regimes, as well as the presence and/or absence of a near-neighbor transplant. Results Carex lyngbyei had significant elevation-driven germination after overwinter and artificial chilling. Schoenoplectus tabernaemontani had near-significant germination across elevation after overwinter chilling, and germination in the absence of competition was significantly greater than with a near-neighbor transplant. Discussion Carex lyngbyei had the highest germination rate at higher elevations, which suggests restricted seed recruitment potential and required clonal expansion to extend into lower marsh elevations. Identifying species-specific recruitment niches provides insight for restoration opportunities or invasive species monitoring, as well as for estuary migration under sea level rise.","container-title":"Applications in Plant Sciences","DOI":"10.1002/aps3.11474","ISSN":"2168-0450","issue":"n/a","language":"en","note":"_eprint: https://onlinelibrary.wiley.com/doi/pdf/10.1002/aps3.11474","page":"e11474","source":"Wiley Online Library","title":"Using marsh organs to test seed recruitment in tidal freshwater marshes","author":[{"family":"Lane","given":"Stefanie L."}],"issued":{"date-parts":[["2022"]]}}}],"schema":"https://github.com/citation-style-language/schema/raw/master/csl-citation.json"} </w:instrText>
      </w:r>
      <w:r>
        <w:fldChar w:fldCharType="separate"/>
      </w:r>
      <w:r w:rsidRPr="000D3AD7">
        <w:rPr>
          <w:rFonts w:ascii="Calibri" w:hAnsi="Calibri" w:cs="Calibri"/>
        </w:rPr>
        <w:t>(Lane, 2022)</w:t>
      </w:r>
      <w:r>
        <w:fldChar w:fldCharType="end"/>
      </w:r>
      <w:r>
        <w:t>. This reflects a general trend of exotic species’ competitive advantage in disturbed systems, and represents ongoing press disturbance by anthropogenic impacts with cumulative ecosystem effects.</w:t>
      </w:r>
    </w:p>
    <w:p w14:paraId="5EEC1E0D" w14:textId="77777777" w:rsidR="00BC6239" w:rsidRDefault="00BC6239" w:rsidP="00BC6239">
      <w:pPr>
        <w:ind w:firstLine="720"/>
      </w:pPr>
      <w:r>
        <w:t xml:space="preserve">A key abiotic driver of tidal marsh development includes sediment deposition, which allows plant communities to compensate for changing inundation rates due to sea level rise </w:t>
      </w:r>
      <w:r>
        <w:fldChar w:fldCharType="begin"/>
      </w:r>
      <w:r>
        <w:instrText xml:space="preserve"> ADDIN ZOTERO_ITEM CSL_CITATION {"citationID":"YjR9QbFC","properties":{"formattedCitation":"(Marijnissen, Kok, Kroeze, &amp; van Loon-Steensma, 2020)","plainCitation":"(Marijnissen, Kok, Kroeze, &amp; van Loon-Steensma, 2020)","dontUpdate":true,"noteIndex":0},"citationItems":[{"id":102,"uris":["http://zotero.org/users/6092945/items/PYLYV238"],"itemData":{"id":102,"type":"article-journal","abstract":"Integrating natural components in flood defence infrastructure can add resilience to sea-level rise. Natural foreshores can keep pace with sea-level rise by accumulating sediment and attenuate waves before reaching the adjacent flood defences. In this study we address how natural foreshores affect the future need for dike heightening. A simplified model of vertical marsh accretion was combined with a wave model and a probabilistic evaluation of dike failure by overtopping. The sensitivity of a marsh-dike system was evaluated in relation to a combination of processes: (1) sea-level rise, (2) changes in sediment concentration, (3) a retreat of the marsh edge, and (4) compaction of the marsh. Results indicate that foreshore processes considerably affect the need for dike heightening in the future. At a low sea-level rise rate, the marshes can accrete such that dike heightening is partially mitigated. But with sea-level rise accelerating, a threshold is reached where dike heightening needs to compensate for the loss of marshes, and for increasing water levels. The level of the threshold depends mostly on the delivery of sediment and degree of compaction on the marsh; with sufficient width of the marsh, lateral erosion only has a minor effect. The study shows how processes and practices that hamper or enhance marsh development today exacerbate or alleviate the challenge of flood protection posed by accelerated sea-level rise.","container-title":"Journal of Marine Science and Engineering","DOI":"10.3390/jmse8010042","issue":"1","language":"en","license":"http://creativecommons.org/licenses/by/3.0/","page":"42","source":"www.mdpi.com","title":"The Sensitivity of a Dike-Marsh System to Sea-Level Rise—A Model-Based Exploration","volume":"8","author":[{"family":"Marijnissen","given":"Richard"},{"family":"Kok","given":"Matthijs"},{"family":"Kroeze","given":"Carolien"},{"family":"Loon-Steensma","given":"Jantsje","non-dropping-particle":"van"}],"issued":{"date-parts":[["2020",1]]}}}],"schema":"https://github.com/citation-style-language/schema/raw/master/csl-citation.json"} </w:instrText>
      </w:r>
      <w:r>
        <w:fldChar w:fldCharType="separate"/>
      </w:r>
      <w:r w:rsidRPr="00E83209">
        <w:rPr>
          <w:rFonts w:ascii="Calibri" w:hAnsi="Calibri" w:cs="Calibri"/>
        </w:rPr>
        <w:t>(</w:t>
      </w:r>
      <w:proofErr w:type="spellStart"/>
      <w:r w:rsidRPr="00E83209">
        <w:rPr>
          <w:rFonts w:ascii="Calibri" w:hAnsi="Calibri" w:cs="Calibri"/>
        </w:rPr>
        <w:t>Marijnissen</w:t>
      </w:r>
      <w:proofErr w:type="spellEnd"/>
      <w:r w:rsidRPr="00E83209">
        <w:rPr>
          <w:rFonts w:ascii="Calibri" w:hAnsi="Calibri" w:cs="Calibri"/>
        </w:rPr>
        <w:t xml:space="preserve">, </w:t>
      </w:r>
      <w:r>
        <w:rPr>
          <w:rFonts w:ascii="Calibri" w:hAnsi="Calibri" w:cs="Calibri"/>
        </w:rPr>
        <w:t>et al.</w:t>
      </w:r>
      <w:r w:rsidRPr="00E83209">
        <w:rPr>
          <w:rFonts w:ascii="Calibri" w:hAnsi="Calibri" w:cs="Calibri"/>
        </w:rPr>
        <w:t>, 2020)</w:t>
      </w:r>
      <w:r>
        <w:fldChar w:fldCharType="end"/>
      </w:r>
      <w:r>
        <w:rPr>
          <w:rFonts w:ascii="Calibri" w:hAnsi="Calibri" w:cs="Calibri"/>
        </w:rPr>
        <w:t>.</w:t>
      </w:r>
      <w:r>
        <w:t xml:space="preserve"> Sediment delivered by river transport is trapped by vegetation, creating a feedback loop of rising tidal marsh platforms, increased vegetation growth, and increased sediment trapping capacity </w:t>
      </w:r>
      <w:r>
        <w:fldChar w:fldCharType="begin"/>
      </w:r>
      <w:r>
        <w:instrText xml:space="preserve"> ADDIN ZOTERO_ITEM CSL_CITATION {"citationID":"8XDvy6Mx","properties":{"formattedCitation":"(Corenblit et al., 2015; Peteet et al., 2018)","plainCitation":"(Corenblit et al., 2015; Peteet et al., 2018)","noteIndex":0},"citationItems":[{"id":248,"uris":["http://zotero.org/users/6092945/items/RW6P9677"],"itemData":{"id":248,"type":"article-journal","abstract":"Aim Within fluvial and coastal ecosystems world-wide, flows of water, wind and sediment generate a shifting landscape mosaic composed of bare substrate and pioneer and mature vegetation successional stages. Pioneer plant species that colonize these ecosystems at the land–water interface have developed specific traits in response to environmental constraints (response traits) and are able to modify habitat conditions by modulating geomorphic processes (effect traits). Changes in the geomorphic environment under the control of engineer plants often feed back to organism traits (feedback traits), and thereby ecosystem functioning, leading to eco-evolutionary dynamics. Here we explain the joint foundations of fluvial and coastal ecosystems according to feedback between plants and the geomorphic environment. Location Dynamic fluvial and coastal ecosystems world-wide. Method Drawing from a pre-existing model of ‘fluvial biogeomorphic succession’, we propose a conceptual framework showing that fluvial and coastal ‘biogeomorphic ecosystems’ are functionally similar due to eco-evolutionary feedbacks between plants and geomorphology. Results The relationships between plant traits and their geomorphic environments within different fluvial and coastal biogeomorphic ecosystems are identified and classified within a framework of biogeomorphic functional similarity according to three criteria: (1) pioneer plants develop specific responses to the geomorphic environment; (2) engineer plants modulate the geomorphic environment; (3) geomorphic changes under biotic control within biogeomorphic ecosystems feed back to organisms. Main conclusions The conceptual framework of functional similarity proposed here will improve our capacity to analyse, compare, manage and restore fluvial and coastal biogeomorphic ecosystems world-wide by using the same protocols based on the three criteria and four phases of the biogeomorphic succession model.","container-title":"Global Ecology and Biogeography","DOI":"10.1111/geb.12373","ISSN":"1466-8238","issue":"12","language":"en","license":"© 2015 John Wiley &amp; Sons Ltd","page":"1363-1376","source":"Wiley Online Library","title":"Engineer pioneer plants respond to and affect geomorphic constraints similarly along water–terrestrial interfaces world-wide","volume":"24","author":[{"family":"Corenblit","given":"Dov"},{"family":"Baas","given":"Andreas"},{"family":"Balke","given":"Thorsten"},{"family":"Bouma","given":"Tjeerd"},{"family":"Fromard","given":"François"},{"family":"Garófano‐Gómez","given":"Virginia"},{"family":"González","given":"Eduardo"},{"family":"Gurnell","given":"Angela M."},{"family":"Hortobágyi","given":"Borbála"},{"family":"Julien","given":"Frédéric"},{"family":"Kim","given":"Daehyun"},{"family":"Lambs","given":"Luc"},{"family":"Stallins","given":"J. Anthony"},{"family":"Steiger","given":"Johannes"},{"family":"Tabacchi","given":"Eric"},{"family":"Walcker","given":"Romain"}],"issued":{"date-parts":[["2015"]]}},"label":"page"},{"id":464,"uris":["http://zotero.org/users/6092945/items/84RI2WFG"],"itemData":{"id":464,"type":"article-journal","abstract":"New York City (NYC) is representative of many vulnerable coastal urban populations, infrastructures, and economies threatened by global sea level rise. The steady loss of marshes in NYC’s Jamaica Bay is typical of many urban estuaries worldwide. Essential to the restoration and preservation of these key wetlands is an understanding of their sedimentation. Here we present a reconstruction of the history of mineral and organic sediment fluxes in Jamaica Bay marshes over three centuries, using a combination of density measurements and a detailed accretion model. Accretion rate is calculated using historical land use and pollution markers, through a wide variety of sediment core analyses including geochemical, isotopic, and paleobotanical analyses. We find that, since 1800 CE, urban development dramatically reduced the input of marsh-stabilizing mineral sediment. However, as mineral flux decreased, organic matter flux increased. While this organic accumulation increase allowed vertical accumulation to outpace sea level, reduced mineral content causes structural weakness and edge failure. Marsh integrity now requires mineral sediment addition to both marshes and subsurface channels and borrow pits, a solution applicable to drowning estuaries worldwide. Integration of marsh mineral/organic accretion history with modeling provides parameters for marsh preservation at specific locales with sea level rise.","container-title":"Proceedings of the National Academy of Sciences","DOI":"10.1073/pnas.1715392115","ISSN":"0027-8424, 1091-6490","issue":"41","journalAbbreviation":"PNAS","language":"en","license":"© 2018 . http://www.pnas.org/site/aboutpnas/licenses.xhtmlPublished under the PNAS license.","note":"publisher: National Academy of Sciences\nsection: Physical Sciences\nPMID: 30249641","page":"10281-10286","source":"www.pnas.org","title":"Sediment starvation destroys New York City marshes’ resistance to sea level rise","volume":"115","author":[{"family":"Peteet","given":"Dorothy M."},{"family":"Nichols","given":"Jonathan"},{"family":"Kenna","given":"Timothy"},{"family":"Chang","given":"Clara"},{"family":"Browne","given":"James"},{"family":"Reza","given":"Mohammad"},{"family":"Kovari","given":"Stephen"},{"family":"Liberman","given":"Louisa"},{"family":"Stern-Protz","given":"Stephanie"}],"issued":{"date-parts":[["2018",10,9]]}},"label":"act"}],"schema":"https://github.com/citation-style-language/schema/raw/master/csl-citation.json"} </w:instrText>
      </w:r>
      <w:r>
        <w:fldChar w:fldCharType="separate"/>
      </w:r>
      <w:r w:rsidRPr="0038013D">
        <w:rPr>
          <w:rFonts w:ascii="Calibri" w:hAnsi="Calibri" w:cs="Calibri"/>
        </w:rPr>
        <w:t>(</w:t>
      </w:r>
      <w:proofErr w:type="spellStart"/>
      <w:r w:rsidRPr="0038013D">
        <w:rPr>
          <w:rFonts w:ascii="Calibri" w:hAnsi="Calibri" w:cs="Calibri"/>
        </w:rPr>
        <w:t>Corenblit</w:t>
      </w:r>
      <w:proofErr w:type="spellEnd"/>
      <w:r w:rsidRPr="0038013D">
        <w:rPr>
          <w:rFonts w:ascii="Calibri" w:hAnsi="Calibri" w:cs="Calibri"/>
        </w:rPr>
        <w:t xml:space="preserve"> et al., 2015; </w:t>
      </w:r>
      <w:proofErr w:type="spellStart"/>
      <w:r w:rsidRPr="0038013D">
        <w:rPr>
          <w:rFonts w:ascii="Calibri" w:hAnsi="Calibri" w:cs="Calibri"/>
        </w:rPr>
        <w:t>Peteet</w:t>
      </w:r>
      <w:proofErr w:type="spellEnd"/>
      <w:r w:rsidRPr="0038013D">
        <w:rPr>
          <w:rFonts w:ascii="Calibri" w:hAnsi="Calibri" w:cs="Calibri"/>
        </w:rPr>
        <w:t xml:space="preserve"> et al., 2018)</w:t>
      </w:r>
      <w:r>
        <w:fldChar w:fldCharType="end"/>
      </w:r>
      <w:r>
        <w:t>.</w:t>
      </w:r>
      <w:r w:rsidRPr="0086197C">
        <w:t xml:space="preserve"> In their 1982 publication, Bradfield and Porter proposed assemblage occurrence was largely driven by edaphic factors, with the Bogbean assemblage occurring in poorly drained areas, Sedge assemblage occurring in regularly flooded and drained areas, and Fescue assemblage along slightly elevated channel edges.  </w:t>
      </w:r>
      <w:r>
        <w:t xml:space="preserve">Native </w:t>
      </w:r>
      <w:r w:rsidRPr="0041394A">
        <w:rPr>
          <w:i/>
        </w:rPr>
        <w:t>Menyanthes trifoliata</w:t>
      </w:r>
      <w:r>
        <w:t xml:space="preserve"> (bogbean) and exotic </w:t>
      </w:r>
      <w:r w:rsidRPr="0041394A">
        <w:rPr>
          <w:i/>
        </w:rPr>
        <w:t>Mentha aquatica</w:t>
      </w:r>
      <w:r>
        <w:t xml:space="preserve"> are highly adapted to aquatic or poorly drained habitats, and the increased prevalence of plots clustered in the Bogbean assemblage within </w:t>
      </w:r>
      <w:commentRangeStart w:id="12"/>
      <w:r>
        <w:t xml:space="preserve">Ladner </w:t>
      </w:r>
      <w:commentRangeEnd w:id="12"/>
      <w:r>
        <w:rPr>
          <w:rStyle w:val="CommentReference"/>
        </w:rPr>
        <w:commentReference w:id="12"/>
      </w:r>
      <w:r>
        <w:t xml:space="preserve">Marsh may be indicative of changing edaphic factors such as sediment starvation or marsh subsidence </w:t>
      </w:r>
      <w:r>
        <w:fldChar w:fldCharType="begin"/>
      </w:r>
      <w:r>
        <w:instrText xml:space="preserve"> ADDIN ZOTERO_ITEM CSL_CITATION {"citationID":"ffTxdVtj","properties":{"formattedCitation":"(Mendelssohn &amp; Kuhn, 2003; Nyman, Walters, Delaune, &amp; Patrick, 2006)","plainCitation":"(Mendelssohn &amp; Kuhn, 2003; Nyman, Walters, Delaune, &amp; Patrick, 2006)","dontUpdate":true,"noteIndex":0},"citationItems":[{"id":2586,"uris":["http://zotero.org/users/6092945/items/XWSKQ5BS"],"itemData":{"id":2586,"type":"article-journal","abstract":"The tidal energy subsidy hypothesis postulates that the high primary productivity of coastal salt marshes is the result of an energy subsidy provided by the tides. The sediment component of this subsidy is especially important in contributing to the elevation increase of the marsh surface, a process essential for the sustainability of salt marshes during periods of sea level rise. This research tested the hypothesis that sediment subsidies have an ameliorating effect on sea level rise-induced impacts to salt marsh vigor. We assessed the plant structural and soil physico-chemical responses to different intensities of sediment subsidy in a salt marsh experiencing a high rate of relative sea level rise. Sediments were hydraulically dredged with a high fluid to solids ratio (85%:15%) from the Gulf of Mexico and dispersed into a Spartina alterniflora dominated salt marsh. Approximately 2 years after this fluid-sediment-enrichment, maximum sediment elevation did not exceed 30cm above ambient and both plant cover and aboveground biomass responded positively. Sediment subsidy increased soil mineral matter, and, in turn, soil fertility and marsh elevation, and thereby reduced nutrient deficiency, flooding, and interstitial sulfide stresses. Thus, sediment subsidy generated a more favorable environment for plant growth and potentially, marsh sustainability.","container-title":"Ecological Engineering","DOI":"10.1016/j.ecoleng.2003.09.006","ISSN":"0925-8574","issue":"2","journalAbbreviation":"Ecological Engineering","language":"en","page":"115-128","source":"ScienceDirect","title":"Sediment subsidy: effects on soil–plant responses in a rapidly submerging coastal salt marsh","title-short":"Sediment subsidy","volume":"21","author":[{"family":"Mendelssohn","given":"Irving A"},{"family":"Kuhn","given":"Nathan L"}],"issued":{"date-parts":[["2003",12,1]]}},"label":"page"},{"id":2590,"uris":["http://zotero.org/users/6092945/items/M559YY8K"],"itemData":{"id":2590,"type":"article-journal","abstract":"Coastal marshes accrete vertically in response to sea-level rise and subsidence. Inadequate accretion and subsequent conversion of coastal marshes to open water generally is attributed to inadequate mineral sedimentation because mineral sedimentation is widely assumed to control accretion. Using 137Cs dating to determine vertical accretion, mineral sedimentation, and organic matter accumulation, we found that accretion varied with organic accumulation rather than mineral sedimentation across a wide range of conditions in coastal Louisiana, including stable marshes where soil was 80% mineral matter. These results agreed with previous research, but no mechanism had been proposed to explain accretion via vegetative growth. In an exploratory greenhouse experiment, we found that flooding stimulated root growth above the marsh surface. These results indicated the need for additional work to determine if flooding controls accretion in some marshes by stimulating root growth on the marsh surface, rather than by mineral accumulation on the marsh surface. Restoration or management that focus on mineral sedimentation may be ineffective where a relationship between accretion and mineral sedimentation is assumed rather than tested.","collection-title":"Salt Marsh Geomorphology: Physical and ecological effects on landform","container-title":"Estuarine, Coastal and Shelf Science","DOI":"10.1016/j.ecss.2006.05.041","ISSN":"0272-7714","issue":"3","journalAbbreviation":"Estuarine, Coastal and Shelf Science","language":"en","page":"370-380","source":"ScienceDirect","title":"Marsh vertical accretion via vegetative growth","volume":"69","author":[{"family":"Nyman","given":"John A."},{"family":"Walters","given":"Russel J."},{"family":"Delaune","given":"Ronald D."},{"family":"Patrick","given":"William H."}],"issued":{"date-parts":[["2006",9,1]]}},"label":"act"}],"schema":"https://github.com/citation-style-language/schema/raw/master/csl-citation.json"} </w:instrText>
      </w:r>
      <w:r>
        <w:fldChar w:fldCharType="separate"/>
      </w:r>
      <w:r w:rsidRPr="00547922">
        <w:rPr>
          <w:rFonts w:ascii="Calibri" w:hAnsi="Calibri" w:cs="Calibri"/>
        </w:rPr>
        <w:t xml:space="preserve">(Mendelssohn &amp; Kuhn, 2003; Nyman, </w:t>
      </w:r>
      <w:r>
        <w:rPr>
          <w:rFonts w:ascii="Calibri" w:hAnsi="Calibri" w:cs="Calibri"/>
        </w:rPr>
        <w:t>et al.</w:t>
      </w:r>
      <w:r w:rsidRPr="00547922">
        <w:rPr>
          <w:rFonts w:ascii="Calibri" w:hAnsi="Calibri" w:cs="Calibri"/>
        </w:rPr>
        <w:t>, 2006)</w:t>
      </w:r>
      <w:r>
        <w:fldChar w:fldCharType="end"/>
      </w:r>
      <w:r>
        <w:t>. Conversely, in 1979 the Sedge assemblage was characterized by indicator species tolerant of highly saturated conditions, but by 2019 the assemblage included species more tolerant of drier conditions. These contrasting changes may indicate assemblage-specific patterns of marsh platform subsidence and sediment deposition driven by vegetation structure or physical settling processes during sediment deposition.</w:t>
      </w:r>
    </w:p>
    <w:p w14:paraId="2349C6DF" w14:textId="77777777" w:rsidR="00BC6239" w:rsidRPr="00566C8F" w:rsidRDefault="00BC6239" w:rsidP="00BC6239">
      <w:pPr>
        <w:ind w:firstLine="720"/>
      </w:pPr>
      <w:r>
        <w:t xml:space="preserve">Loss of sediment within the Lower Fraser River reaches is driven by a combination of factors, such as increased impervious cover, bank </w:t>
      </w:r>
      <w:proofErr w:type="spellStart"/>
      <w:r>
        <w:t>dyking</w:t>
      </w:r>
      <w:proofErr w:type="spellEnd"/>
      <w:r>
        <w:t xml:space="preserve"> or armoring, and channel dredging </w:t>
      </w:r>
      <w:r>
        <w:fldChar w:fldCharType="begin"/>
      </w:r>
      <w:r>
        <w:instrText xml:space="preserve"> ADDIN ZOTERO_ITEM CSL_CITATION {"citationID":"DHpdUV8W","properties":{"formattedCitation":"(Atkins, Tidd, &amp; Ruffo, 2016)","plainCitation":"(Atkins, Tidd, &amp; Ruffo, 2016)","noteIndex":0},"citationItems":[{"id":2597,"uris":["http://zotero.org/users/6092945/items/CCL5N5AY"],"itemData":{"id":2597,"type":"article-journal","abstract":"The Fraser River Delta in south western British Columbia, Canada, is a relatively recent geologic feature being only approximately 10,000 years old. The delta environment, and the intertidal banks, are the cumulative effect of flood and sediment discharges over the post-glacial interval. The salt marsh of Sturgeon Bank, on the northwest side of the delta, has been identified as under threat from erosion. The occurrence, cause and extent of erosion have been a subject of speculation, investigation and conclusion for several decades; however, dissenting opinions on the persistence of erosion over the last fifty years are numerous. To explore potential causes of the erosion further, publically available historical datasets of natural phenomena were re-examined relative to records of human activities to enable development of a conceptual model. Historical datasets of natural phenomena included sedimentary geology, post-glacial history, bathymetry, flood discharge records, sediment discharge/basin sediment yield, sediment grain size data, wind-waves, and tides. Human activity, stretching back to the late 1800's, included navigation dredging, aggregate resource dredging, river training, river diversion, flood protection dyking, land-use changes, and ongoing habitat management activities. From this review, a conceptual model of physical constraints on deltaic environments was developed. The various phenomena are discussed, the integration of those phenomena as processes affecting deltaic habitat explored, and potential management strategies identified to address the sedimentary consequences of the last 150 years of human influence on the salt marshes of Sturgeon Bank.","container-title":"Journal of Coastal Research","DOI":"https://doi.org/10.2112/SI75-159.1","ISSN":"07490208","issue":"75","language":"English","license":"Copyright Allen Press Publishing Services 2016","note":"number-of-pages: 5\npublisher-place: Fort Lauderdale, United Kingdom\npublisher: Allen Press Publishing Services","page":"790-794","source":"ProQuest","title":"Sturgeon Bank, Fraser River Delta, BC, Canada: 150 Years of Human Influences on Salt Marsh Sedimentation","title-short":"Sturgeon Bank, Fraser River Delta, BC, Canada","volume":"SI","author":[{"family":"Atkins","given":"Rowland J."},{"family":"Tidd","given":"Morgan"},{"family":"Ruffo","given":"Gord"}],"issued":{"date-parts":[["2016"]]}}}],"schema":"https://github.com/citation-style-language/schema/raw/master/csl-citation.json"} </w:instrText>
      </w:r>
      <w:r>
        <w:fldChar w:fldCharType="separate"/>
      </w:r>
      <w:r w:rsidRPr="00D70908">
        <w:rPr>
          <w:rFonts w:ascii="Calibri" w:hAnsi="Calibri" w:cs="Calibri"/>
        </w:rPr>
        <w:t>(Atkins, Tidd, &amp; Ruffo, 2016)</w:t>
      </w:r>
      <w:r>
        <w:fldChar w:fldCharType="end"/>
      </w:r>
      <w:r>
        <w:t xml:space="preserve">. Edaphic shifts resulting in more saturated areas, such as sediment starvation or subsidence, would likely drive the increased prevalence of Bogbean assemblage, and may also be driving disappearance of species across all assemblages, as fewer species are able to tolerate increasingly saturated conditions. Similarly, areas receiving more sediment would accrete in elevation, and may also be more likely to receive exotic propagules within the distributed sediment. Thus, these processes may be altering the recruitment niche for clonal and seed propagules </w:t>
      </w:r>
      <w:r>
        <w:fldChar w:fldCharType="begin"/>
      </w:r>
      <w:r>
        <w:instrText xml:space="preserve"> ADDIN ZOTERO_ITEM CSL_CITATION {"citationID":"YQO401hJ","properties":{"formattedCitation":"(Lane, 2022)","plainCitation":"(Lane, 2022)","noteIndex":0},"citationItems":[{"id":2671,"uris":["http://zotero.org/users/6092945/items/XFPV62BJ"],"itemData":{"id":2671,"type":"article-journal","abstract":"Premise Seed recruitment niches along estuarine elevation gradients are seldom experimentally field-tested under tidal regimes of the Pacific Northwest of North America. Addressing this knowledge gap is important to better understand estuary restoration and plant community response to sea level rise. Methods Germination was tested in marsh organ mesocosms across an elevation gradient (0.5–1.7 m above mean sea level). Seeds were sown on sterile peat moss, and the tops of pipes were secured with horticultural “frost cloth” to ensure no experimental seeds were washed out and no new seeds were introduced. The trials tested artificial and overwinter chilling regimes, as well as the presence and/or absence of a near-neighbor transplant. Results Carex lyngbyei had significant elevation-driven germination after overwinter and artificial chilling. Schoenoplectus tabernaemontani had near-significant germination across elevation after overwinter chilling, and germination in the absence of competition was significantly greater than with a near-neighbor transplant. Discussion Carex lyngbyei had the highest germination rate at higher elevations, which suggests restricted seed recruitment potential and required clonal expansion to extend into lower marsh elevations. Identifying species-specific recruitment niches provides insight for restoration opportunities or invasive species monitoring, as well as for estuary migration under sea level rise.","container-title":"Applications in Plant Sciences","DOI":"10.1002/aps3.11474","ISSN":"2168-0450","issue":"n/a","language":"en","note":"_eprint: https://onlinelibrary.wiley.com/doi/pdf/10.1002/aps3.11474","page":"e11474","source":"Wiley Online Library","title":"Using marsh organs to test seed recruitment in tidal freshwater marshes","author":[{"family":"Lane","given":"Stefanie L."}],"issued":{"date-parts":[["2022"]]}}}],"schema":"https://github.com/citation-style-language/schema/raw/master/csl-citation.json"} </w:instrText>
      </w:r>
      <w:r>
        <w:fldChar w:fldCharType="separate"/>
      </w:r>
      <w:r w:rsidRPr="000D3AD7">
        <w:rPr>
          <w:rFonts w:ascii="Calibri" w:hAnsi="Calibri" w:cs="Calibri"/>
        </w:rPr>
        <w:t>(Lane, 2022)</w:t>
      </w:r>
      <w:r>
        <w:fldChar w:fldCharType="end"/>
      </w:r>
      <w:r>
        <w:t xml:space="preserve">, which may favor species tolerant to the changing soil conditions (e.g., RCG). </w:t>
      </w:r>
    </w:p>
    <w:p w14:paraId="605F0CEF" w14:textId="77777777" w:rsidR="00BC6239" w:rsidRPr="009860B6" w:rsidRDefault="00BC6239" w:rsidP="00BC6239">
      <w:pPr>
        <w:pStyle w:val="Heading2"/>
      </w:pPr>
      <w:r w:rsidRPr="009860B6">
        <w:t>Limitations &amp; opportunities</w:t>
      </w:r>
    </w:p>
    <w:p w14:paraId="3980284F" w14:textId="77777777" w:rsidR="00BC6239" w:rsidRPr="002275CC" w:rsidRDefault="00BC6239" w:rsidP="00BC6239">
      <w:pPr>
        <w:ind w:firstLine="720"/>
      </w:pPr>
      <w:commentRangeStart w:id="13"/>
      <w:r>
        <w:t xml:space="preserve">While </w:t>
      </w:r>
      <w:commentRangeEnd w:id="13"/>
      <w:r>
        <w:rPr>
          <w:rStyle w:val="CommentReference"/>
        </w:rPr>
        <w:commentReference w:id="13"/>
      </w:r>
      <w:r>
        <w:t>these data have shown coarse trends through time, we cannot account for interannual variation in compositional abundance trends. However, this snapshot of long-term trends may be used to refine future questions such as identifying whether abiotic drivers, recruitment potential, or assemblage-scale conservation of species diversity convey greater susceptibility or resistance to invasion and loss of native species diversity. We observed that while the Bogbean assem</w:t>
      </w:r>
      <w:bookmarkStart w:id="14" w:name="_GoBack"/>
      <w:bookmarkEnd w:id="14"/>
      <w:r>
        <w:t xml:space="preserve">blage showed an increasing abundance of exotic </w:t>
      </w:r>
      <w:r>
        <w:rPr>
          <w:i/>
        </w:rPr>
        <w:t>Mentha aquatica</w:t>
      </w:r>
      <w:r>
        <w:t xml:space="preserve">, it retained cover abundance and increased richness of native species. Thus, although the assemblage is being invaded, homogenization and loss of diversity may be happening more slowly than in other assemblages. These trends may yield further insights to how abiotic processes mitigate or facilitate competitive pre-emption of space and propagule recruitment to prevent loss of species diversity.  </w:t>
      </w:r>
    </w:p>
    <w:p w14:paraId="04971F5E" w14:textId="77777777" w:rsidR="00BC6239" w:rsidRDefault="00BC6239" w:rsidP="00BC6239">
      <w:pPr>
        <w:ind w:firstLine="720"/>
      </w:pPr>
      <w:r>
        <w:lastRenderedPageBreak/>
        <w:t xml:space="preserve">Ecosystem stressors such as sediment loss, propagule loss, and competitive strategies are likely interacting, resulting in loss of species diversity and facilitating spread of invasive species. Disentangling explicit causes would be no easy task, however experimentally testing effects of sediment loading on species-specific clonal or seed propagule recruitment would prove valuable for understanding best practices to shift the plant community towards functionally desired compositional </w:t>
      </w:r>
      <w:commentRangeStart w:id="15"/>
      <w:r>
        <w:t>states</w:t>
      </w:r>
      <w:commentRangeEnd w:id="15"/>
      <w:r>
        <w:rPr>
          <w:rStyle w:val="CommentReference"/>
        </w:rPr>
        <w:commentReference w:id="15"/>
      </w:r>
      <w:r>
        <w:t xml:space="preserve">. </w:t>
      </w:r>
    </w:p>
    <w:p w14:paraId="349B0342" w14:textId="77777777" w:rsidR="00BC6239" w:rsidRPr="009860B6" w:rsidRDefault="00BC6239" w:rsidP="00BC6239">
      <w:pPr>
        <w:pStyle w:val="Heading2"/>
      </w:pPr>
      <w:r>
        <w:t>A</w:t>
      </w:r>
      <w:r w:rsidRPr="009860B6">
        <w:t>pplications</w:t>
      </w:r>
    </w:p>
    <w:p w14:paraId="39D8D7F7" w14:textId="77777777" w:rsidR="00BC6239" w:rsidRDefault="00BC6239" w:rsidP="00BC6239">
      <w:pPr>
        <w:ind w:firstLine="720"/>
      </w:pPr>
      <w:r>
        <w:t xml:space="preserve">Despite our knowledge to the contrary, practitioners often erroneously assume no direct anthropogenic disturbance suffices to conserve an ecologically appropriate reference state </w:t>
      </w:r>
      <w:r>
        <w:fldChar w:fldCharType="begin"/>
      </w:r>
      <w:r>
        <w:instrText xml:space="preserve"> ADDIN ZOTERO_ITEM CSL_CITATION {"citationID":"VNaIJc7D","properties":{"formattedCitation":"(Stoddard, Larsen, Hawkins, Johnson, &amp; Norris, 2006)","plainCitation":"(Stoddard, Larsen, Hawkins, Johnson, &amp; Norris, 2006)","noteIndex":0},"citationItems":[{"id":2674,"uris":["http://zotero.org/users/6092945/items/LUN76VCV"],"itemData":{"id":2674,"type":"article-journal","abstract":"An important component of the biological assessment of stream condition is an evaluation of the direct or indirect effects of human activities or disturbances. The concept of a “reference condition” is increasingly used to describe the standard or benchmark against which current condition is compared. Many individual nations, and the European Union as a whole, have codified the concept of reference condition in legislation aimed at protecting and improving the ecological condition of streams. However, the phrase “reference condition” has many meanings in a variety of contexts. One of the primary purposes of this paper is to bring some consistency to the use of the term. We argue the need for a “reference condition” term that is reserved for referring to the “naturalness” of the biota (structure and function) and that naturalness implies the absence of significant human disturbance or alteration. To avoid the confusion that arises when alternative definitions of reference condition are used, we propose that the original concept of reference condition be preserved in this modified form of the term: “reference condition for biological integrity,” or RC(BI). We further urge that these specific terms be used to refer to the concepts and methods used in individual bioassessments to characterize the expected condition to which current conditions are compared: “minimally disturbed condition” (MDC); “historical condition” (HC); “least disturbed condition” (LDC); and “best attainable condition” (BAC). We argue that each of these concepts can be narrowly defined, and each implies specific methods for estimating expectations. We also describe current methods by which these expectations are estimated including: the reference-site approach (condition at minimally or least-disturbed sites); best professional judgment; interpretation of historical condition; extrapolation of empirical models; and evaluation of ambient distributions. Because different assumptions about what constitutes reference condition will have important effects on the final classification of streams into condition classes, we urge that bioassessments be consistent in describing the definitions and methods used to set expectations.","container-title":"Ecological Applications","DOI":"10.1890/1051-0761(2006)016[1267:SEFTEC]2.0.CO;2","ISSN":"1939-5582","issue":"4","language":"en","note":"_eprint: https://onlinelibrary.wiley.com/doi/pdf/10.1890/1051-0761%282006%29016%5B1267%3ASEFTEC%5D2.0.CO%3B2","page":"1267-1276","source":"Wiley Online Library","title":"Setting Expectations for the Ecological Condition of Streams: The Concept of Reference Condition","title-short":"Setting Expectations for the Ecological Condition of Streams","volume":"16","author":[{"family":"Stoddard","given":"John L."},{"family":"Larsen","given":"David P."},{"family":"Hawkins","given":"Charles P."},{"family":"Johnson","given":"Richard K."},{"family":"Norris","given":"Richard H."}],"issued":{"date-parts":[["2006"]]}}}],"schema":"https://github.com/citation-style-language/schema/raw/master/csl-citation.json"} </w:instrText>
      </w:r>
      <w:r>
        <w:fldChar w:fldCharType="separate"/>
      </w:r>
      <w:r w:rsidRPr="00D04961">
        <w:rPr>
          <w:rFonts w:ascii="Calibri" w:hAnsi="Calibri" w:cs="Calibri"/>
        </w:rPr>
        <w:t>(</w:t>
      </w:r>
      <w:r>
        <w:rPr>
          <w:rFonts w:ascii="Calibri" w:hAnsi="Calibri" w:cs="Calibri"/>
        </w:rPr>
        <w:t xml:space="preserve">e.g., </w:t>
      </w:r>
      <w:r w:rsidRPr="00D04961">
        <w:rPr>
          <w:rFonts w:ascii="Calibri" w:hAnsi="Calibri" w:cs="Calibri"/>
        </w:rPr>
        <w:t xml:space="preserve">Stoddard, </w:t>
      </w:r>
      <w:r>
        <w:rPr>
          <w:rFonts w:ascii="Calibri" w:hAnsi="Calibri" w:cs="Calibri"/>
        </w:rPr>
        <w:t>et al.</w:t>
      </w:r>
      <w:r w:rsidRPr="00D04961">
        <w:rPr>
          <w:rFonts w:ascii="Calibri" w:hAnsi="Calibri" w:cs="Calibri"/>
        </w:rPr>
        <w:t>, 2006</w:t>
      </w:r>
      <w:r>
        <w:rPr>
          <w:rFonts w:ascii="Calibri" w:hAnsi="Calibri" w:cs="Calibri"/>
        </w:rPr>
        <w:t>, and citations therein</w:t>
      </w:r>
      <w:r w:rsidRPr="00D04961">
        <w:rPr>
          <w:rFonts w:ascii="Calibri" w:hAnsi="Calibri" w:cs="Calibri"/>
        </w:rPr>
        <w:t>)</w:t>
      </w:r>
      <w:r>
        <w:fldChar w:fldCharType="end"/>
      </w:r>
      <w:r>
        <w:t xml:space="preserve">. However, the biodiversity loss described here presents real concerns for the resilience of this important community, and highlights negative impacts in unmanaged ecosystems thought to be relatively pristine. Most importantly: active management will be needed to maintain ecologically desired species composition in the face of climate change. These active management decisions will necessitate understanding native species loss through experimental adaptive management of hydro-geomorphological drivers, dispersal networks, and recruitment strategies. </w:t>
      </w:r>
    </w:p>
    <w:p w14:paraId="4EE1E22A" w14:textId="77777777" w:rsidR="00BC6239" w:rsidRDefault="00BC6239" w:rsidP="00BC6239">
      <w:pPr>
        <w:ind w:firstLine="720"/>
      </w:pPr>
      <w:r>
        <w:t>These findings yet again confirm that contemporary “reference” sites are not sufficient benchmarks for restoration success</w:t>
      </w:r>
      <w:r>
        <w:rPr>
          <w:rFonts w:ascii="Calibri" w:hAnsi="Calibri" w:cs="Calibri"/>
        </w:rPr>
        <w:t xml:space="preserve"> </w:t>
      </w:r>
      <w:r>
        <w:rPr>
          <w:rFonts w:ascii="Calibri" w:hAnsi="Calibri" w:cs="Calibri"/>
        </w:rPr>
        <w:fldChar w:fldCharType="begin"/>
      </w:r>
      <w:r>
        <w:rPr>
          <w:rFonts w:ascii="Calibri" w:hAnsi="Calibri" w:cs="Calibri"/>
        </w:rPr>
        <w:instrText xml:space="preserve"> ADDIN ZOTERO_ITEM CSL_CITATION {"citationID":"WZOHJs2F","properties":{"formattedCitation":"(Shackelford, Dudney, Stueber, Temperton, &amp; Suding, 2021)","plainCitation":"(Shackelford, Dudney, Stueber, Temperton, &amp; Suding, 2021)","dontUpdate":true,"noteIndex":0},"citationItems":[{"id":2638,"uris":["http://zotero.org/users/6092945/items/HLB6X43B"],"itemData":{"id":2638,"type":"article-journal","abstract":"Restoration has long used the reference concept as a cornerstone in setting targets, designing interventions, and benchmarking success. Following the initial applications of restoration references, however, the definition and broader relevance has been debated. Particularly in an era of directional global change, using historic or even contemporary ecosystem models has been contentious among restoration scientists and practitioners. In response, there have been calls for increasing flexibility in how references are defined and diversifying sources of data used to describe a reference. Previous frameworks suggest reference information can be drawn from sources across two main axes of time and space, covering historic to contemporary sources, and near to far spatial scales. We extend these axes by including future projections of climate and species composition and regional ecological information that is spatially disconnected from defined ecosystem types. Using this new framework, we conducted a review of restoration literature published between 2010 and 2020, extracting the temporal and spatial scales of reference data and classifying reference metrics by data type. The studies overwhelmingly focused on contemporary, ecosystem-specific references to benchmark a completed project's success. The most commonly reported reference metrics were plant-based, and contemporary reference data sources were more diverse than historical or future reference data. As global conditions continue to shift, we suggest that restoration projects would benefit by expanding reference site information to include forecasted and spatially diverse data. A greater diversity of data sources can enable higher flexibility and long-term restoration success in the face of global change.","container-title":"Restoration Ecology","DOI":"10.1111/rec.13541","ISSN":"1526-100X","issue":"n/a","language":"en","note":"_eprint: https://onlinelibrary.wiley.com/doi/pdf/10.1111/rec.13541","page":"e13541","source":"Wiley Online Library","title":"Measuring at all scales: sourcing data for more flexible restoration references","title-short":"Measuring at all scales","volume":"n/a","author":[{"family":"Shackelford","given":"Nancy"},{"family":"Dudney","given":"Joan"},{"family":"Stueber","given":"Melinda M."},{"family":"Temperton","given":"Vicky M."},{"family":"Suding","given":"Katharine L."}],"issued":{"date-parts":[["2021"]]}}}],"schema":"https://github.com/citation-style-language/schema/raw/master/csl-citation.json"} </w:instrText>
      </w:r>
      <w:r>
        <w:rPr>
          <w:rFonts w:ascii="Calibri" w:hAnsi="Calibri" w:cs="Calibri"/>
        </w:rPr>
        <w:fldChar w:fldCharType="separate"/>
      </w:r>
      <w:r w:rsidRPr="00D41379">
        <w:rPr>
          <w:rFonts w:ascii="Calibri" w:hAnsi="Calibri" w:cs="Calibri"/>
        </w:rPr>
        <w:t xml:space="preserve">(Shackelford, </w:t>
      </w:r>
      <w:r>
        <w:rPr>
          <w:rFonts w:ascii="Calibri" w:hAnsi="Calibri" w:cs="Calibri"/>
        </w:rPr>
        <w:t>et al.</w:t>
      </w:r>
      <w:r w:rsidRPr="00D41379">
        <w:rPr>
          <w:rFonts w:ascii="Calibri" w:hAnsi="Calibri" w:cs="Calibri"/>
        </w:rPr>
        <w:t>, 2021)</w:t>
      </w:r>
      <w:r>
        <w:rPr>
          <w:rFonts w:ascii="Calibri" w:hAnsi="Calibri" w:cs="Calibri"/>
        </w:rPr>
        <w:fldChar w:fldCharType="end"/>
      </w:r>
      <w:r>
        <w:t xml:space="preserve">. Despite Ladner Marsh’s status as a protected wetland and legacy of little anthropogenic disturbance, its plant community is succumbing to cumulative pressures that reduce its quality as a reference condition. Therefore, as land managers consider restoration outcomes resilient to climate change in coastal wetlands, they must necessarily look beyond contemporary remnants of historic ecosystems to design models and functional ecological targets. </w:t>
      </w:r>
    </w:p>
    <w:p w14:paraId="4AAE5161" w14:textId="77777777" w:rsidR="00BC6239" w:rsidRPr="009860B6" w:rsidRDefault="00BC6239" w:rsidP="00BC6239">
      <w:pPr>
        <w:pStyle w:val="Heading2"/>
      </w:pPr>
      <w:r>
        <w:t>R</w:t>
      </w:r>
      <w:r w:rsidRPr="009860B6">
        <w:t xml:space="preserve">ecommendations </w:t>
      </w:r>
    </w:p>
    <w:p w14:paraId="1C74D433" w14:textId="77777777" w:rsidR="00BC6239" w:rsidRDefault="00BC6239" w:rsidP="00BC6239">
      <w:pPr>
        <w:ind w:firstLine="720"/>
      </w:pPr>
      <w:r>
        <w:t xml:space="preserve">If we are to prioritize conservation of functional coastal wetlands that include a significant representation of native species, we must seek new ways to actively manage habitats such as Ladner Marsh through mechanical control of invasive species (e.g., stands of reed canary grass), combined with experimental management practices using sediment application and/or native species planting to enhance ecosystem processes within remnant marsh habitats. </w:t>
      </w:r>
    </w:p>
    <w:p w14:paraId="48FD79D3" w14:textId="77777777" w:rsidR="00BC6239" w:rsidRDefault="00BC6239" w:rsidP="00BC6239">
      <w:pPr>
        <w:ind w:firstLine="720"/>
      </w:pPr>
      <w:r>
        <w:t xml:space="preserve">This active management process also presents a timely and necessary opportunity to engage with First Nations to revive traditional management practices, such as select mechanical disturbance </w:t>
      </w:r>
      <w:r>
        <w:fldChar w:fldCharType="begin"/>
      </w:r>
      <w:r>
        <w:instrText xml:space="preserve"> ADDIN ZOTERO_ITEM CSL_CITATION {"citationID":"oHGLB8Zz","properties":{"formattedCitation":"(Turner, 2014)","plainCitation":"(Turner, 2014)","noteIndex":0},"citationItems":[{"id":164,"uris":["http://zotero.org/users/6092945/items/IVPS7CKQ"],"itemData":{"id":164,"type":"book","abstract":"Volume 1: The History and Practice of Indigenous Plant Knowledge Volume 2: The Place and Meaning of Plants in Indigenous Cultures and Worldviews Nancy Turner has studied Indigenous peoples' knowledge of plants and environments in northwestern North America for over forty years. In Ancient Pathways, Ancestral Knowledge, she integrates her research into a two-volume ethnobotanical tour-de-force. Drawing on information shared by Indigenous botanical experts and collaborators, the ethnographic and historical record, and from linguistics, palaeobotany, archaeology, phytogeography, and other fields, Turner weaves together a complex understanding of the traditions of use and management of plant resources in this vast region. She follows Indigenous inhabitants over time and through space, showing how they actively participated in their environments, managed and cultivated valued plant resources, and maintained key habitats that supported their dynamic cultures for thousands of years, as well as how knowledge was passed on from generation to generation and from one community to another. To understand the values and perspectives that have guided Indigenous ethnobotanical knowledge and practices, Turner looks beyond the details of individual plant species and their uses to determine the overall patterns and processes of their development, application, and adaptation. Volume 1 presents a historical overview of ethnobotonical knowledge in the region before and after European contact. The ways in which Indigenous peoples used and interacted with plants - for nutrition, technologies, and medicine - are examined. Drawing connections between similarities across languages, Turner compares the names of over 250 plant species in more than fifty Indigenous languages and dialects to demonstrate the prominence of certain plants in various cultures and the sharing of goods and ideas between peoples. She also examines the effects that introduced species and colonialism had on the region's Indigenous peoples and their ecologies. Volume 2 provides a sweeping account of how Indigenous organizational systems developed to facilitate the harvesting, use, and cultivation of plants, to establish economic connections across linguistic and cultural borders, and to preserve and manage resources and habitats. Turner describes the worldviews and philosophies that emerged from the interactions between peoples and plants, and how these understandings are expressed through cultures’ stories and narratives. Finally, she explores the ways in which botanical and ecological knowledge can be and are being maintained as living, adaptive systems that promote healthy cultures, environments, and indigenous plant populations. Ancient Pathways, Ancestral Knowledge both challenges and contributes to existing knowledge of Indigenous peoples' land stewardship while preserving information that might otherwise have been lost. Providing new and captivating insights into the anthropogenic systems of northwestern North America, it will stand as an authoritative reference work and contribute to a fuller understanding of the interactions between cultures and ecological systems.","ISBN":"978-0-7735-8539-3","language":"en","note":"Google-Books-ID: oJLdAwAAQBAJ","number-of-pages":"1161","publisher":"McGill-Queen's Press - MQUP","source":"Google Books","title":"Ancient Pathways, Ancestral Knowledge: Ethnobotany and Ecological Wisdom of Indigenous Peoples of Northwestern North America","title-short":"Ancient Pathways, Ancestral Knowledge","author":[{"family":"Turner","given":"Nancy"}],"issued":{"date-parts":[["2014",6]]}}}],"schema":"https://github.com/citation-style-language/schema/raw/master/csl-citation.json"} </w:instrText>
      </w:r>
      <w:r>
        <w:fldChar w:fldCharType="separate"/>
      </w:r>
      <w:r w:rsidRPr="00A1679A">
        <w:rPr>
          <w:rFonts w:ascii="Calibri" w:hAnsi="Calibri" w:cs="Calibri"/>
        </w:rPr>
        <w:t>(Turner, 2014)</w:t>
      </w:r>
      <w:r>
        <w:fldChar w:fldCharType="end"/>
      </w:r>
      <w:r>
        <w:t xml:space="preserve">: working with traditional knowledge holders may yield deeper understanding of plant community function and habitat stability, which would enhance ecosystem resilience and potentially lead to positive effects on salmonid populations while contributing to reconciliation between Indigenous and colonial cultures. </w:t>
      </w:r>
    </w:p>
    <w:p w14:paraId="3F377090" w14:textId="77777777" w:rsidR="007805BE" w:rsidRDefault="007805BE"/>
    <w:sectPr w:rsidR="007805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w:date="2022-08-15T08:57:00Z" w:initials="n">
    <w:p w14:paraId="500B8B94" w14:textId="77777777" w:rsidR="009A048C" w:rsidRDefault="009A048C" w:rsidP="009A048C">
      <w:pPr>
        <w:pStyle w:val="CommentText"/>
      </w:pPr>
      <w:r>
        <w:rPr>
          <w:rStyle w:val="CommentReference"/>
        </w:rPr>
        <w:annotationRef/>
      </w:r>
      <w:r>
        <w:t>You’ve split up discussing certain things – you mention that the dominants are still dominant, but then wait a page to discuss these details. I think having the discussion split into these headers is making your writing a bit inefficient</w:t>
      </w:r>
    </w:p>
    <w:p w14:paraId="65F69FC7" w14:textId="77777777" w:rsidR="009A048C" w:rsidRDefault="009A048C" w:rsidP="009A048C">
      <w:pPr>
        <w:pStyle w:val="CommentText"/>
      </w:pPr>
    </w:p>
    <w:p w14:paraId="415C8E87" w14:textId="1DC52041" w:rsidR="009A048C" w:rsidRDefault="009A048C" w:rsidP="009A048C">
      <w:pPr>
        <w:pStyle w:val="CommentText"/>
      </w:pPr>
    </w:p>
  </w:comment>
  <w:comment w:id="1" w:author="n" w:date="2022-08-15T08:48:00Z" w:initials="n">
    <w:p w14:paraId="0F6020CA" w14:textId="77777777" w:rsidR="00BC6239" w:rsidRDefault="00BC6239" w:rsidP="00BC6239">
      <w:pPr>
        <w:pStyle w:val="CommentText"/>
      </w:pPr>
      <w:r>
        <w:rPr>
          <w:rStyle w:val="CommentReference"/>
        </w:rPr>
        <w:annotationRef/>
      </w:r>
      <w:r>
        <w:t>Some of this reads like results. Rather than a detailed play-by-play, hit only the details that are relevant to larger patterns / results you want to discuss.</w:t>
      </w:r>
    </w:p>
    <w:p w14:paraId="75D69F39" w14:textId="77777777" w:rsidR="00BC6239" w:rsidRDefault="00BC6239" w:rsidP="00BC6239">
      <w:pPr>
        <w:pStyle w:val="CommentText"/>
      </w:pPr>
    </w:p>
    <w:p w14:paraId="45A7569A" w14:textId="77777777" w:rsidR="00BC6239" w:rsidRDefault="00BC6239" w:rsidP="00BC6239">
      <w:pPr>
        <w:pStyle w:val="CommentText"/>
      </w:pPr>
      <w:r>
        <w:t>You talk about loss of redundancy – point out whether the natives that have been lost represent that kind of redundancy</w:t>
      </w:r>
    </w:p>
    <w:p w14:paraId="3FB22664" w14:textId="77777777" w:rsidR="00BC6239" w:rsidRDefault="00BC6239" w:rsidP="00BC6239">
      <w:pPr>
        <w:pStyle w:val="CommentText"/>
      </w:pPr>
    </w:p>
    <w:p w14:paraId="30779901" w14:textId="77777777" w:rsidR="00BC6239" w:rsidRDefault="00BC6239" w:rsidP="00BC6239">
      <w:pPr>
        <w:pStyle w:val="CommentText"/>
      </w:pPr>
      <w:r>
        <w:t xml:space="preserve">I like the point about woody species coming into the system and representing a </w:t>
      </w:r>
      <w:proofErr w:type="gramStart"/>
      <w:r>
        <w:t>functional differences</w:t>
      </w:r>
      <w:proofErr w:type="gramEnd"/>
      <w:r>
        <w:t xml:space="preserve"> – are there other woody species? </w:t>
      </w:r>
    </w:p>
  </w:comment>
  <w:comment w:id="2" w:author="Stefanie Lane" w:date="2022-08-23T14:32:00Z" w:initials="SLL">
    <w:p w14:paraId="0AA7875C" w14:textId="4BC936D4" w:rsidR="00FC20AB" w:rsidRDefault="00FC20AB">
      <w:pPr>
        <w:pStyle w:val="CommentText"/>
      </w:pPr>
      <w:r>
        <w:rPr>
          <w:rStyle w:val="CommentReference"/>
        </w:rPr>
        <w:annotationRef/>
      </w:r>
      <w:r>
        <w:t xml:space="preserve">Either explain what this is, or get off it. Maybe </w:t>
      </w:r>
      <w:r w:rsidR="0058714D">
        <w:t>holistically address</w:t>
      </w:r>
      <w:r>
        <w:t xml:space="preserve"> in terms of </w:t>
      </w:r>
      <w:r w:rsidR="0058714D">
        <w:t>increased woody cover (combine all ideas of species loss, function, and species gain here)?</w:t>
      </w:r>
    </w:p>
  </w:comment>
  <w:comment w:id="3" w:author="n" w:date="2022-08-15T08:54:00Z" w:initials="n">
    <w:p w14:paraId="77358A8F" w14:textId="77777777" w:rsidR="00BC6239" w:rsidRDefault="00BC6239" w:rsidP="00BC6239">
      <w:pPr>
        <w:pStyle w:val="CommentText"/>
      </w:pPr>
      <w:r>
        <w:rPr>
          <w:rStyle w:val="CommentReference"/>
        </w:rPr>
        <w:annotationRef/>
      </w:r>
    </w:p>
  </w:comment>
  <w:comment w:id="4" w:author="n" w:date="2022-08-15T08:54:00Z" w:initials="n">
    <w:p w14:paraId="5C118FED" w14:textId="77777777" w:rsidR="00BC6239" w:rsidRDefault="00BC6239" w:rsidP="00BC6239">
      <w:pPr>
        <w:pStyle w:val="CommentText"/>
      </w:pPr>
      <w:r>
        <w:rPr>
          <w:rStyle w:val="CommentReference"/>
        </w:rPr>
        <w:annotationRef/>
      </w:r>
      <w:r>
        <w:t>This paragraph is redundant</w:t>
      </w:r>
    </w:p>
  </w:comment>
  <w:comment w:id="5" w:author="n" w:date="2022-08-15T08:55:00Z" w:initials="n">
    <w:p w14:paraId="28CB5A3B" w14:textId="77777777" w:rsidR="00BC6239" w:rsidRDefault="00BC6239" w:rsidP="00BC6239">
      <w:pPr>
        <w:pStyle w:val="CommentText"/>
      </w:pPr>
      <w:r>
        <w:rPr>
          <w:rStyle w:val="CommentReference"/>
        </w:rPr>
        <w:annotationRef/>
      </w:r>
      <w:r>
        <w:t>Is this worth noting? I feel like if you were talking to a manager, or funder, yes, worthy of note. In this context, though, probably not needed</w:t>
      </w:r>
    </w:p>
  </w:comment>
  <w:comment w:id="6" w:author="Stefanie Lane" w:date="2022-08-23T14:33:00Z" w:initials="SLL">
    <w:p w14:paraId="0149378A" w14:textId="1754DACC" w:rsidR="0058714D" w:rsidRDefault="0058714D">
      <w:pPr>
        <w:pStyle w:val="CommentText"/>
      </w:pPr>
      <w:r>
        <w:rPr>
          <w:rStyle w:val="CommentReference"/>
        </w:rPr>
        <w:annotationRef/>
      </w:r>
      <w:r w:rsidR="009A048C">
        <w:t>Distill, and m</w:t>
      </w:r>
      <w:r>
        <w:t>ove to applications/recommendations section</w:t>
      </w:r>
      <w:r w:rsidR="009A048C">
        <w:t xml:space="preserve"> </w:t>
      </w:r>
    </w:p>
  </w:comment>
  <w:comment w:id="7" w:author="n" w:date="2022-08-15T08:59:00Z" w:initials="n">
    <w:p w14:paraId="07CA4465" w14:textId="77777777" w:rsidR="00BC6239" w:rsidRDefault="00BC6239" w:rsidP="00BC6239">
      <w:pPr>
        <w:pStyle w:val="CommentText"/>
      </w:pPr>
      <w:r>
        <w:rPr>
          <w:rStyle w:val="CommentReference"/>
        </w:rPr>
        <w:annotationRef/>
      </w:r>
      <w:r>
        <w:t>This paragraph is repetitive either from above content or from the results. Again, you aren’t just spitting results back again, but highlighting the results that illustrate points you want to make</w:t>
      </w:r>
    </w:p>
  </w:comment>
  <w:comment w:id="8" w:author="n" w:date="2022-08-15T09:00:00Z" w:initials="n">
    <w:p w14:paraId="75AE8B96" w14:textId="77777777" w:rsidR="00BC6239" w:rsidRDefault="00BC6239" w:rsidP="00BC6239">
      <w:pPr>
        <w:pStyle w:val="CommentText"/>
      </w:pPr>
      <w:r>
        <w:rPr>
          <w:rStyle w:val="CommentReference"/>
        </w:rPr>
        <w:annotationRef/>
      </w:r>
      <w:r>
        <w:t xml:space="preserve">This is better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9" w:author="Stefanie Lane" w:date="2022-08-23T14:36:00Z" w:initials="SLL">
    <w:p w14:paraId="140C0100" w14:textId="24BD860F" w:rsidR="002D4CD0" w:rsidRDefault="002D4CD0">
      <w:pPr>
        <w:pStyle w:val="CommentText"/>
      </w:pPr>
      <w:r>
        <w:rPr>
          <w:rStyle w:val="CommentReference"/>
        </w:rPr>
        <w:annotationRef/>
      </w:r>
      <w:r>
        <w:t>Add a transitional sentence to integrate broader trends of loss of indicator species</w:t>
      </w:r>
      <w:r w:rsidR="00351875">
        <w:t xml:space="preserve"> (sedge)</w:t>
      </w:r>
      <w:r>
        <w:t xml:space="preserve"> richness, or shifts to </w:t>
      </w:r>
      <w:r w:rsidR="00351875">
        <w:t>other exotic species (fescue)</w:t>
      </w:r>
    </w:p>
  </w:comment>
  <w:comment w:id="10" w:author="Stefanie Lane" w:date="2022-08-23T14:38:00Z" w:initials="SLL">
    <w:p w14:paraId="51305C09" w14:textId="72AAA4D5" w:rsidR="00DC411A" w:rsidRDefault="00DC411A">
      <w:pPr>
        <w:pStyle w:val="CommentText"/>
      </w:pPr>
      <w:r>
        <w:rPr>
          <w:rStyle w:val="CommentReference"/>
        </w:rPr>
        <w:annotationRef/>
      </w:r>
      <w:proofErr w:type="gramStart"/>
      <w:r>
        <w:t>Distill,  &amp;</w:t>
      </w:r>
      <w:proofErr w:type="gramEnd"/>
      <w:r>
        <w:t xml:space="preserve"> combine this w/ the limitations/opportunities bit </w:t>
      </w:r>
    </w:p>
  </w:comment>
  <w:comment w:id="11" w:author="n" w:date="2022-08-15T09:04:00Z" w:initials="n">
    <w:p w14:paraId="442E02D6" w14:textId="77777777" w:rsidR="00BC6239" w:rsidRDefault="00BC6239" w:rsidP="00BC6239">
      <w:pPr>
        <w:pStyle w:val="CommentText"/>
      </w:pPr>
      <w:r>
        <w:rPr>
          <w:rStyle w:val="CommentReference"/>
        </w:rPr>
        <w:annotationRef/>
      </w:r>
      <w:r>
        <w:t>Repetitive</w:t>
      </w:r>
    </w:p>
    <w:p w14:paraId="342FA3A2" w14:textId="77777777" w:rsidR="00BC6239" w:rsidRDefault="00BC6239" w:rsidP="00BC6239">
      <w:pPr>
        <w:pStyle w:val="CommentText"/>
      </w:pPr>
    </w:p>
    <w:p w14:paraId="22A55A2A" w14:textId="77777777" w:rsidR="00BC6239" w:rsidRDefault="00BC6239" w:rsidP="00BC6239">
      <w:pPr>
        <w:pStyle w:val="CommentText"/>
      </w:pPr>
      <w:r>
        <w:t>This is why I’m wondering if the subheadings are doing more harm than good. You can bring this point up into the discussion about species loss, and cover it in a couple of sentences rather than a full paragraph</w:t>
      </w:r>
    </w:p>
  </w:comment>
  <w:comment w:id="12" w:author="n" w:date="2022-08-15T09:05:00Z" w:initials="n">
    <w:p w14:paraId="3C80CEB5" w14:textId="77777777" w:rsidR="00BC6239" w:rsidRDefault="00BC6239" w:rsidP="00BC6239">
      <w:pPr>
        <w:pStyle w:val="CommentText"/>
      </w:pPr>
      <w:r>
        <w:rPr>
          <w:rStyle w:val="CommentReference"/>
        </w:rPr>
        <w:annotationRef/>
      </w:r>
      <w:r>
        <w:t>And this could be linked to your section above pointing out how species changes might be pointing towards shifting abiotic conditions</w:t>
      </w:r>
    </w:p>
    <w:p w14:paraId="3486BA3D" w14:textId="77777777" w:rsidR="00BC6239" w:rsidRDefault="00BC6239" w:rsidP="00BC6239">
      <w:pPr>
        <w:pStyle w:val="CommentText"/>
      </w:pPr>
    </w:p>
    <w:p w14:paraId="2FA390C0" w14:textId="77777777" w:rsidR="00BC6239" w:rsidRDefault="00BC6239" w:rsidP="00BC6239">
      <w:pPr>
        <w:pStyle w:val="CommentText"/>
      </w:pPr>
      <w:r>
        <w:t xml:space="preserve">Interesting to connect this to the increase in </w:t>
      </w:r>
      <w:r>
        <w:rPr>
          <w:i/>
        </w:rPr>
        <w:t xml:space="preserve">Agrostis stolonifera </w:t>
      </w:r>
      <w:r w:rsidRPr="00D83711">
        <w:rPr>
          <w:iCs/>
        </w:rPr>
        <w:t>and</w:t>
      </w:r>
      <w:r>
        <w:rPr>
          <w:i/>
        </w:rPr>
        <w:t xml:space="preserve"> Impatiens capensis</w:t>
      </w:r>
    </w:p>
  </w:comment>
  <w:comment w:id="13" w:author="n" w:date="2022-08-15T09:08:00Z" w:initials="n">
    <w:p w14:paraId="30F4E061" w14:textId="77777777" w:rsidR="00BC6239" w:rsidRDefault="00BC6239" w:rsidP="00BC6239">
      <w:pPr>
        <w:pStyle w:val="CommentText"/>
      </w:pPr>
      <w:r>
        <w:rPr>
          <w:rStyle w:val="CommentReference"/>
        </w:rPr>
        <w:annotationRef/>
      </w:r>
      <w:r>
        <w:t>You’ve already discussed this a bit with your interannual variability point at the end of the functional section</w:t>
      </w:r>
    </w:p>
    <w:p w14:paraId="3D50BFC8" w14:textId="77777777" w:rsidR="00BC6239" w:rsidRDefault="00BC6239" w:rsidP="00BC6239">
      <w:pPr>
        <w:pStyle w:val="CommentText"/>
      </w:pPr>
    </w:p>
    <w:p w14:paraId="5DDA2DA0" w14:textId="77777777" w:rsidR="00BC6239" w:rsidRDefault="00BC6239" w:rsidP="00BC6239">
      <w:pPr>
        <w:pStyle w:val="CommentText"/>
      </w:pPr>
      <w:r>
        <w:t>Combine for efficiency!</w:t>
      </w:r>
    </w:p>
  </w:comment>
  <w:comment w:id="15" w:author="n" w:date="2022-08-15T09:15:00Z" w:initials="n">
    <w:p w14:paraId="16154864" w14:textId="77777777" w:rsidR="00BC6239" w:rsidRDefault="00BC6239" w:rsidP="00BC6239">
      <w:pPr>
        <w:pStyle w:val="CommentText"/>
      </w:pPr>
      <w:r>
        <w:rPr>
          <w:rStyle w:val="CommentReference"/>
        </w:rPr>
        <w:annotationRef/>
      </w:r>
      <w:r>
        <w:t>Are there any BC studies that do this? Otherwise, this could be removed if you’re running tight on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5C8E87" w15:done="0"/>
  <w15:commentEx w15:paraId="30779901" w15:done="0"/>
  <w15:commentEx w15:paraId="0AA7875C" w15:done="0"/>
  <w15:commentEx w15:paraId="77358A8F" w15:done="0"/>
  <w15:commentEx w15:paraId="5C118FED" w15:paraIdParent="77358A8F" w15:done="0"/>
  <w15:commentEx w15:paraId="28CB5A3B" w15:done="0"/>
  <w15:commentEx w15:paraId="0149378A" w15:paraIdParent="28CB5A3B" w15:done="0"/>
  <w15:commentEx w15:paraId="07CA4465" w15:done="0"/>
  <w15:commentEx w15:paraId="75AE8B96" w15:done="0"/>
  <w15:commentEx w15:paraId="140C0100" w15:paraIdParent="75AE8B96" w15:done="0"/>
  <w15:commentEx w15:paraId="51305C09" w15:done="0"/>
  <w15:commentEx w15:paraId="22A55A2A" w15:done="1"/>
  <w15:commentEx w15:paraId="2FA390C0" w15:done="0"/>
  <w15:commentEx w15:paraId="5DDA2DA0" w15:done="0"/>
  <w15:commentEx w15:paraId="161548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5C8E87" w16cid:durableId="26A488E2"/>
  <w16cid:commentId w16cid:paraId="30779901" w16cid:durableId="26A486E0"/>
  <w16cid:commentId w16cid:paraId="0AA7875C" w16cid:durableId="26AF6376"/>
  <w16cid:commentId w16cid:paraId="77358A8F" w16cid:durableId="26A48842"/>
  <w16cid:commentId w16cid:paraId="5C118FED" w16cid:durableId="26A48843"/>
  <w16cid:commentId w16cid:paraId="28CB5A3B" w16cid:durableId="26A48872"/>
  <w16cid:commentId w16cid:paraId="0149378A" w16cid:durableId="26AF63B8"/>
  <w16cid:commentId w16cid:paraId="07CA4465" w16cid:durableId="26A4897D"/>
  <w16cid:commentId w16cid:paraId="75AE8B96" w16cid:durableId="26A489A0"/>
  <w16cid:commentId w16cid:paraId="140C0100" w16cid:durableId="26AF6463"/>
  <w16cid:commentId w16cid:paraId="51305C09" w16cid:durableId="26AF64F1"/>
  <w16cid:commentId w16cid:paraId="22A55A2A" w16cid:durableId="26A48A94"/>
  <w16cid:commentId w16cid:paraId="2FA390C0" w16cid:durableId="26A48AF2"/>
  <w16cid:commentId w16cid:paraId="5DDA2DA0" w16cid:durableId="26A48B98"/>
  <w16cid:commentId w16cid:paraId="16154864" w16cid:durableId="26A48D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w15:presenceInfo w15:providerId="Windows Live" w15:userId="81f6a45a1744a32d"/>
  </w15:person>
  <w15:person w15:author="Stefanie Lane">
    <w15:presenceInfo w15:providerId="None" w15:userId="Stefanie 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39"/>
    <w:rsid w:val="000573DC"/>
    <w:rsid w:val="00095E0B"/>
    <w:rsid w:val="002D4CD0"/>
    <w:rsid w:val="00351875"/>
    <w:rsid w:val="004D6069"/>
    <w:rsid w:val="0058714D"/>
    <w:rsid w:val="007805BE"/>
    <w:rsid w:val="00825EA9"/>
    <w:rsid w:val="009A048C"/>
    <w:rsid w:val="00BC6239"/>
    <w:rsid w:val="00BF6055"/>
    <w:rsid w:val="00D0542F"/>
    <w:rsid w:val="00DB5D91"/>
    <w:rsid w:val="00DC411A"/>
    <w:rsid w:val="00FC2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201B"/>
  <w15:chartTrackingRefBased/>
  <w15:docId w15:val="{8235952A-4C59-4587-8363-1C14568E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239"/>
  </w:style>
  <w:style w:type="paragraph" w:styleId="Heading1">
    <w:name w:val="heading 1"/>
    <w:basedOn w:val="Normal"/>
    <w:next w:val="Normal"/>
    <w:link w:val="Heading1Char"/>
    <w:uiPriority w:val="9"/>
    <w:qFormat/>
    <w:rsid w:val="00BC6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62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62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2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62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6239"/>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BC6239"/>
    <w:rPr>
      <w:sz w:val="16"/>
      <w:szCs w:val="16"/>
    </w:rPr>
  </w:style>
  <w:style w:type="paragraph" w:styleId="CommentText">
    <w:name w:val="annotation text"/>
    <w:basedOn w:val="Normal"/>
    <w:link w:val="CommentTextChar"/>
    <w:uiPriority w:val="99"/>
    <w:unhideWhenUsed/>
    <w:rsid w:val="00BC6239"/>
    <w:pPr>
      <w:spacing w:line="240" w:lineRule="auto"/>
    </w:pPr>
    <w:rPr>
      <w:sz w:val="20"/>
      <w:szCs w:val="20"/>
    </w:rPr>
  </w:style>
  <w:style w:type="character" w:customStyle="1" w:styleId="CommentTextChar">
    <w:name w:val="Comment Text Char"/>
    <w:basedOn w:val="DefaultParagraphFont"/>
    <w:link w:val="CommentText"/>
    <w:uiPriority w:val="99"/>
    <w:rsid w:val="00BC6239"/>
    <w:rPr>
      <w:sz w:val="20"/>
      <w:szCs w:val="20"/>
    </w:rPr>
  </w:style>
  <w:style w:type="paragraph" w:styleId="BalloonText">
    <w:name w:val="Balloon Text"/>
    <w:basedOn w:val="Normal"/>
    <w:link w:val="BalloonTextChar"/>
    <w:uiPriority w:val="99"/>
    <w:semiHidden/>
    <w:unhideWhenUsed/>
    <w:rsid w:val="00BC6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23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B5D91"/>
    <w:rPr>
      <w:b/>
      <w:bCs/>
    </w:rPr>
  </w:style>
  <w:style w:type="character" w:customStyle="1" w:styleId="CommentSubjectChar">
    <w:name w:val="Comment Subject Char"/>
    <w:basedOn w:val="CommentTextChar"/>
    <w:link w:val="CommentSubject"/>
    <w:uiPriority w:val="99"/>
    <w:semiHidden/>
    <w:rsid w:val="00DB5D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2CB5C9-5F58-4709-AD59-AC0B016FB4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E71FDB-8CC5-408E-9E1F-F623DFC14455}">
  <ds:schemaRefs>
    <ds:schemaRef ds:uri="http://schemas.microsoft.com/sharepoint/v3/contenttype/forms"/>
  </ds:schemaRefs>
</ds:datastoreItem>
</file>

<file path=customXml/itemProps3.xml><?xml version="1.0" encoding="utf-8"?>
<ds:datastoreItem xmlns:ds="http://schemas.openxmlformats.org/officeDocument/2006/customXml" ds:itemID="{13094DF2-1BB1-4200-A34E-E095FFEDC513}">
  <ds:schemaRefs>
    <ds:schemaRef ds:uri="8c008993-a31f-4b40-b1f3-88dd9c6e1924"/>
    <ds:schemaRef ds:uri="http://purl.org/dc/dcmitype/"/>
    <ds:schemaRef ds:uri="http://schemas.microsoft.com/office/2006/documentManagement/types"/>
    <ds:schemaRef ds:uri="http://purl.org/dc/terms/"/>
    <ds:schemaRef ds:uri="http://purl.org/dc/elements/1.1/"/>
    <ds:schemaRef ds:uri="360018dd-41eb-4458-b1d4-4b46a95a2b02"/>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8540</Words>
  <Characters>48682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4</cp:revision>
  <dcterms:created xsi:type="dcterms:W3CDTF">2022-08-23T21:28:00Z</dcterms:created>
  <dcterms:modified xsi:type="dcterms:W3CDTF">2022-08-23T21:39:00Z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ies>
</file>