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0895A" w14:textId="3871D2AC" w:rsidR="008D61E8" w:rsidRDefault="00C64A4F" w:rsidP="00C64A4F">
      <w:r>
        <w:t>Mary O’Connor and Gary Bradfield</w:t>
      </w:r>
      <w:r w:rsidR="00F625B9">
        <w:t xml:space="preserve"> </w:t>
      </w:r>
      <w:r w:rsidR="0035763F">
        <w:t>were</w:t>
      </w:r>
      <w:r w:rsidR="00F625B9">
        <w:t xml:space="preserve"> the most recent reviewers of the manuscript;</w:t>
      </w:r>
      <w:r>
        <w:t xml:space="preserve"> each provided comments</w:t>
      </w:r>
      <w:r w:rsidR="00590491">
        <w:t xml:space="preserve"> on version 3.3</w:t>
      </w:r>
      <w:r>
        <w:t xml:space="preserve"> in mid-November. I have summarized their critiques and my </w:t>
      </w:r>
      <w:r w:rsidR="00F758C4">
        <w:t xml:space="preserve">revisions by each </w:t>
      </w:r>
      <w:r w:rsidR="00F625B9">
        <w:t>manuscript</w:t>
      </w:r>
      <w:r w:rsidR="00F758C4">
        <w:t xml:space="preserve"> section, below.</w:t>
      </w:r>
      <w:r w:rsidR="00601D07">
        <w:t xml:space="preserve"> </w:t>
      </w:r>
    </w:p>
    <w:p w14:paraId="26E628DB" w14:textId="7C7238BE" w:rsidR="009561FF" w:rsidRDefault="00601D07" w:rsidP="00C64A4F">
      <w:r>
        <w:t xml:space="preserve">I reference line numbers in version 3.3, as annotated by </w:t>
      </w:r>
      <w:r w:rsidR="00F625B9">
        <w:t>each</w:t>
      </w:r>
      <w:r>
        <w:t xml:space="preserve"> reviewer.</w:t>
      </w:r>
      <w:r w:rsidR="00F758C4">
        <w:t xml:space="preserve"> Co-authors/</w:t>
      </w:r>
      <w:r>
        <w:t>reviewers</w:t>
      </w:r>
      <w:r w:rsidR="00F758C4">
        <w:t xml:space="preserve"> are referenced by their initials as follows: </w:t>
      </w:r>
      <w:r w:rsidR="00E83AD4">
        <w:t>GB – Gary Bradfield</w:t>
      </w:r>
      <w:r w:rsidR="00C64A4F">
        <w:t xml:space="preserve">, </w:t>
      </w:r>
      <w:r w:rsidR="0065590A">
        <w:t xml:space="preserve">MOC – Mary O’Connor, </w:t>
      </w:r>
      <w:r w:rsidR="00C64A4F">
        <w:t xml:space="preserve">SLL – Stefanie Lane, </w:t>
      </w:r>
      <w:r w:rsidR="0065590A">
        <w:t xml:space="preserve">MD – Madlen </w:t>
      </w:r>
      <w:proofErr w:type="spellStart"/>
      <w:r w:rsidR="0065590A">
        <w:t>Denoth,</w:t>
      </w:r>
      <w:r w:rsidR="00C64A4F">
        <w:t>TGM</w:t>
      </w:r>
      <w:proofErr w:type="spellEnd"/>
      <w:r w:rsidR="00C64A4F">
        <w:t xml:space="preserve"> – Tara Martin, NAS – Nancy Shackelford</w:t>
      </w:r>
      <w:r w:rsidR="00F758C4">
        <w:t xml:space="preserve">. </w:t>
      </w:r>
    </w:p>
    <w:p w14:paraId="4BF04509" w14:textId="69D9E7D1" w:rsidR="00897D0A" w:rsidRDefault="00C732B5">
      <w:r>
        <w:t xml:space="preserve">In general, I accepted all of GB’s edits to v. 3.3. </w:t>
      </w:r>
      <w:r w:rsidR="00AC31EF">
        <w:t xml:space="preserve">I tracked changes </w:t>
      </w:r>
      <w:r w:rsidR="00B75762">
        <w:t>in</w:t>
      </w:r>
      <w:r w:rsidR="00AC31EF">
        <w:t xml:space="preserve"> v. 3.4, but ran into</w:t>
      </w:r>
      <w:r w:rsidR="00B75762">
        <w:t xml:space="preserve"> formatting</w:t>
      </w:r>
      <w:r w:rsidR="00AC31EF">
        <w:t xml:space="preserve"> issues with Word’s Reference feature. To get around the issues, I started v. 3.41 without tracking changes. If anyone wants to review the</w:t>
      </w:r>
      <w:r w:rsidR="00FD1D40">
        <w:t xml:space="preserve"> markup, I can send v. 3.4</w:t>
      </w:r>
      <w:r w:rsidR="00B75762">
        <w:t xml:space="preserve"> (although it will not have all the finalized edits as shown in v. 3.4)</w:t>
      </w:r>
      <w:r w:rsidR="00FD1D40">
        <w:t xml:space="preserve">. </w:t>
      </w:r>
    </w:p>
    <w:p w14:paraId="0B332E1C" w14:textId="045A9CA3" w:rsidR="00691ACC" w:rsidRDefault="00691ACC" w:rsidP="00E7451C">
      <w:pPr>
        <w:pStyle w:val="Heading1"/>
      </w:pPr>
      <w:r>
        <w:t>General</w:t>
      </w:r>
    </w:p>
    <w:p w14:paraId="2337D59C" w14:textId="26002165" w:rsidR="00691ACC" w:rsidRDefault="00691ACC" w:rsidP="00691ACC">
      <w:r>
        <w:t>GB pointed out ‘exotic’ may not be an appropriate term for species that have naturalized in our ecoregion, and the term is incongruous with ‘non-native’ used in supplemental tables. I’ve standardized all instances to ‘non-native’ for consistency</w:t>
      </w:r>
      <w:r w:rsidR="00A543B5">
        <w:t xml:space="preserve">. </w:t>
      </w:r>
    </w:p>
    <w:p w14:paraId="6E0DDDA8" w14:textId="54DE8F2E" w:rsidR="00B968DB" w:rsidRPr="00691ACC" w:rsidRDefault="00B968DB" w:rsidP="00691ACC">
      <w:r>
        <w:t>MOC had several comments in Methods &amp; Results</w:t>
      </w:r>
      <w:r w:rsidR="009F44DC">
        <w:t xml:space="preserve"> about study design/analyses chosen</w:t>
      </w:r>
      <w:r w:rsidR="008315A9">
        <w:t>, specifically about whether all individual species were recorded within the plot</w:t>
      </w:r>
      <w:r w:rsidR="009F44DC">
        <w:t>.</w:t>
      </w:r>
      <w:r w:rsidR="008315A9">
        <w:t xml:space="preserve"> I’ve tried to emphasize in the methods that all species were recorded, so measures using presence/absence and compositional abundance </w:t>
      </w:r>
      <w:r w:rsidR="005C5018">
        <w:t xml:space="preserve">should be appropriate. No statistical models were used, and therefore I have not addressed model </w:t>
      </w:r>
      <w:r w:rsidR="00921289">
        <w:t xml:space="preserve">or statistical </w:t>
      </w:r>
      <w:r w:rsidR="005C5018">
        <w:t xml:space="preserve">assumptions. </w:t>
      </w:r>
    </w:p>
    <w:p w14:paraId="63D15D29" w14:textId="300D599A" w:rsidR="00897D0A" w:rsidRDefault="00897D0A" w:rsidP="00E7451C">
      <w:pPr>
        <w:pStyle w:val="Heading1"/>
      </w:pPr>
      <w:r>
        <w:t>Introduction</w:t>
      </w:r>
    </w:p>
    <w:p w14:paraId="4ADEE333" w14:textId="0034B014" w:rsidR="00174DE7" w:rsidRDefault="00A4486A" w:rsidP="00897D0A">
      <w:r>
        <w:t xml:space="preserve">Line 3-5 (second sentence), </w:t>
      </w:r>
      <w:r w:rsidR="00F758C4">
        <w:t>MOC pointed out species dominance may shift by</w:t>
      </w:r>
      <w:r>
        <w:t xml:space="preserve"> interspecific interactions such as </w:t>
      </w:r>
      <w:r w:rsidR="00F758C4">
        <w:t>fac</w:t>
      </w:r>
      <w:r>
        <w:t xml:space="preserve">ilitation (Bruno, 2000). I’ve broken </w:t>
      </w:r>
      <w:r w:rsidR="008D61E8">
        <w:t xml:space="preserve">down this statement to </w:t>
      </w:r>
      <w:r>
        <w:t xml:space="preserve">address </w:t>
      </w:r>
      <w:r w:rsidR="00590491">
        <w:t xml:space="preserve">concepts of interspecific interaction and community stability separately. </w:t>
      </w:r>
    </w:p>
    <w:p w14:paraId="1BCD6F6C" w14:textId="3FA27595" w:rsidR="00897D0A" w:rsidRDefault="008D61E8" w:rsidP="00897D0A">
      <w:r>
        <w:t xml:space="preserve">Line 44, GB correctly suggested I meant to indicate “within and </w:t>
      </w:r>
      <w:r>
        <w:rPr>
          <w:b/>
        </w:rPr>
        <w:t>between</w:t>
      </w:r>
      <w:r>
        <w:t xml:space="preserve">” assemblages, not “within and across” assemblages. </w:t>
      </w:r>
    </w:p>
    <w:p w14:paraId="0F854C61" w14:textId="0E7C95F2" w:rsidR="00897D0A" w:rsidRDefault="00897D0A" w:rsidP="00897D0A">
      <w:pPr>
        <w:pStyle w:val="Heading1"/>
      </w:pPr>
      <w:r>
        <w:t>Methods</w:t>
      </w:r>
    </w:p>
    <w:p w14:paraId="5C912F2B" w14:textId="4B4107BC" w:rsidR="00897D0A" w:rsidRDefault="009F589D" w:rsidP="00897D0A">
      <w:r>
        <w:t>Line</w:t>
      </w:r>
      <w:r w:rsidR="004B1AF4">
        <w:t>s 68-82: MOC suggested recounting previous studies</w:t>
      </w:r>
      <w:r w:rsidR="00843916">
        <w:t>’ methods</w:t>
      </w:r>
      <w:r w:rsidR="004B1AF4">
        <w:t xml:space="preserve"> in Ladner Marsh reads more like literature review, and is not directly informative of this study’s methods. I’ve moved some content about </w:t>
      </w:r>
      <w:r w:rsidR="00707F7A">
        <w:t xml:space="preserve">the previous study’s goals to the Introduction where co-authors’ studies are introduced. I’ve condensed survey method details entirely within the context of how the 2019 sampling was conducted for this manuscript. </w:t>
      </w:r>
    </w:p>
    <w:p w14:paraId="7AF06F8D" w14:textId="66B58576" w:rsidR="00987F41" w:rsidRDefault="00987F41" w:rsidP="00897D0A">
      <w:r>
        <w:t xml:space="preserve">Line 95-96: MOC </w:t>
      </w:r>
      <w:r w:rsidR="00FA458E">
        <w:t xml:space="preserve">pointed out bias is introduced by placing sampling plots within patches subjectively assessed as dominated by one or two species. </w:t>
      </w:r>
      <w:r w:rsidR="00013CB7">
        <w:t>I agree</w:t>
      </w:r>
      <w:r w:rsidR="00FA458E">
        <w:t xml:space="preserve"> method does introduce bias, however </w:t>
      </w:r>
      <w:r w:rsidR="00013CB7">
        <w:t xml:space="preserve">the method </w:t>
      </w:r>
      <w:r w:rsidR="00540CD5">
        <w:t xml:space="preserve">described </w:t>
      </w:r>
      <w:r w:rsidR="00013CB7">
        <w:t xml:space="preserve">was </w:t>
      </w:r>
      <w:r w:rsidR="00540CD5">
        <w:t>used</w:t>
      </w:r>
      <w:r w:rsidR="00013CB7">
        <w:t xml:space="preserve"> in order to repeat the sampling as closely as possible to methods used in 1979, and to make comparisons between datasets. I have acknowledged the bias in lin</w:t>
      </w:r>
      <w:r w:rsidR="00013CB7" w:rsidRPr="00791E87">
        <w:t xml:space="preserve">e </w:t>
      </w:r>
      <w:r w:rsidR="00791E87" w:rsidRPr="00791E87">
        <w:t>70</w:t>
      </w:r>
      <w:r w:rsidR="00791E87">
        <w:t xml:space="preserve"> </w:t>
      </w:r>
      <w:r w:rsidR="00013CB7">
        <w:t xml:space="preserve">of v. 3.4, and </w:t>
      </w:r>
      <w:r w:rsidR="00DD34BD">
        <w:t>proposed that within the context of this bias</w:t>
      </w:r>
      <w:r w:rsidR="007F4A08">
        <w:t xml:space="preserve"> meaningful</w:t>
      </w:r>
      <w:r w:rsidR="00DD34BD">
        <w:t xml:space="preserve"> comparisons can</w:t>
      </w:r>
      <w:r w:rsidR="007F4A08">
        <w:t xml:space="preserve"> still</w:t>
      </w:r>
      <w:r w:rsidR="00DD34BD">
        <w:t xml:space="preserve"> be made about changes</w:t>
      </w:r>
      <w:bookmarkStart w:id="0" w:name="_Hlk122012759"/>
      <w:r w:rsidR="00DD34BD">
        <w:t xml:space="preserve"> in floristic diversity and compositional abundance. </w:t>
      </w:r>
    </w:p>
    <w:p w14:paraId="5CCDFC9F" w14:textId="5C8E57A3" w:rsidR="00A543B5" w:rsidRDefault="00A543B5" w:rsidP="00897D0A">
      <w:r>
        <w:lastRenderedPageBreak/>
        <w:t>Lines 142-147: GB suggested omitting</w:t>
      </w:r>
      <w:r w:rsidR="00B968DB">
        <w:t xml:space="preserve"> supplemental references to</w:t>
      </w:r>
      <w:r>
        <w:t xml:space="preserve"> Bray-Curtis results; I’ve left them </w:t>
      </w:r>
      <w:r w:rsidR="00B968DB">
        <w:t xml:space="preserve">to indicate presence of further supplemental materials. </w:t>
      </w:r>
    </w:p>
    <w:bookmarkEnd w:id="0"/>
    <w:p w14:paraId="3CFC4627" w14:textId="351C1332" w:rsidR="00897D0A" w:rsidRDefault="00897D0A" w:rsidP="00897D0A"/>
    <w:p w14:paraId="11193484" w14:textId="3C85C94F" w:rsidR="00897D0A" w:rsidRDefault="00897D0A" w:rsidP="00897D0A">
      <w:pPr>
        <w:pStyle w:val="Heading1"/>
      </w:pPr>
      <w:r>
        <w:t>Results</w:t>
      </w:r>
    </w:p>
    <w:p w14:paraId="4D000678" w14:textId="495BFEE8" w:rsidR="00142A07" w:rsidRDefault="00974C8B" w:rsidP="00897D0A">
      <w:r>
        <w:t xml:space="preserve">GB </w:t>
      </w:r>
      <w:r w:rsidR="00911841">
        <w:t xml:space="preserve">pointed out that data limits significant digits to one decimal place – corrected in all tables. </w:t>
      </w:r>
    </w:p>
    <w:p w14:paraId="694EF6C6" w14:textId="61A3B4C9" w:rsidR="00911841" w:rsidRDefault="00911841" w:rsidP="00897D0A">
      <w:r>
        <w:t xml:space="preserve">GB pointed out that because cover abundance was reported as </w:t>
      </w:r>
      <w:r w:rsidR="00FF0C1A">
        <w:t xml:space="preserve">cover classes, calculating percent change isn’t an accurate representation of change in cover abundance in the </w:t>
      </w:r>
      <w:r w:rsidR="009263B3">
        <w:t>assemblage/</w:t>
      </w:r>
      <w:r w:rsidR="00FF0C1A">
        <w:t>community. Ex: if a species’ cover dropped from 4 to 2, I reported a 50% loss of mean cover</w:t>
      </w:r>
      <w:r w:rsidR="00354CF2">
        <w:t xml:space="preserve">. However, actual cover could </w:t>
      </w:r>
      <w:r w:rsidR="009263B3">
        <w:t>have changed from</w:t>
      </w:r>
      <w:r w:rsidR="00354CF2">
        <w:t xml:space="preserve"> 76% to 50%, which would not be a 50% loss. Therefore, I’ve amended language around loss of cover to reflect cover classes (not raw percentages). </w:t>
      </w:r>
      <w:r w:rsidR="00DF5429">
        <w:t xml:space="preserve">Same critique applies to </w:t>
      </w:r>
      <w:r w:rsidR="00CF44A7">
        <w:t xml:space="preserve">Table 7; I’ve taken Gary’s advice to use +/- for gain/loss, </w:t>
      </w:r>
      <w:r w:rsidR="00C27429">
        <w:t>blanks for species not recorded</w:t>
      </w:r>
      <w:r w:rsidR="00627FCE">
        <w:t xml:space="preserve">. </w:t>
      </w:r>
    </w:p>
    <w:p w14:paraId="605B5DFB" w14:textId="34A1B733" w:rsidR="002A3B01" w:rsidRDefault="002A3B01" w:rsidP="00897D0A">
      <w:r>
        <w:t xml:space="preserve">MOC’s comments that analyses may not be appropriate for data may be resolved by clarification of methods/analyses used in Methods section. That is, </w:t>
      </w:r>
      <w:r w:rsidR="00C04A04">
        <w:t xml:space="preserve">violations of ‘model’ assumptions don’t necessarily apply. </w:t>
      </w:r>
    </w:p>
    <w:p w14:paraId="5EFC4D39" w14:textId="2CF377EF" w:rsidR="00897D0A" w:rsidRDefault="00C04A04" w:rsidP="00897D0A">
      <w:r>
        <w:t>MOC suggested evidence for species loss was not strong, SLL suspects that in the context of turnover, loss of 1-2 species per sampling period is n</w:t>
      </w:r>
      <w:r w:rsidR="009D73C2">
        <w:t xml:space="preserve">ot enough to state (line 244) “our results present a </w:t>
      </w:r>
      <w:r w:rsidR="009D73C2">
        <w:rPr>
          <w:u w:val="single"/>
        </w:rPr>
        <w:t>compelling</w:t>
      </w:r>
      <w:r w:rsidR="009D73C2">
        <w:t xml:space="preserve"> example of …native species biodiversity l</w:t>
      </w:r>
      <w:bookmarkStart w:id="1" w:name="_GoBack"/>
      <w:bookmarkEnd w:id="1"/>
      <w:r w:rsidR="009D73C2">
        <w:t xml:space="preserve">oss…. </w:t>
      </w:r>
      <w:r w:rsidR="008C7AB9">
        <w:t xml:space="preserve">SLL removed ‘compelling,’ although SLL maintains that there is still an overall trend of species loss in the data. </w:t>
      </w:r>
    </w:p>
    <w:p w14:paraId="6EA747E0" w14:textId="5F487C09" w:rsidR="00897D0A" w:rsidRDefault="00897D0A" w:rsidP="00897D0A">
      <w:pPr>
        <w:pStyle w:val="Heading1"/>
      </w:pPr>
      <w:r>
        <w:t>Discussion</w:t>
      </w:r>
    </w:p>
    <w:p w14:paraId="7ACB5AFB" w14:textId="68729391" w:rsidR="00897D0A" w:rsidRDefault="00897D0A" w:rsidP="00897D0A"/>
    <w:p w14:paraId="0E940269" w14:textId="6AF7BAFF" w:rsidR="00445369" w:rsidRDefault="00445369" w:rsidP="00897D0A">
      <w:r>
        <w:t>GB had minor comments</w:t>
      </w:r>
      <w:r w:rsidR="00A65C0C">
        <w:t xml:space="preserve"> that were resolved while addressing MOC comments</w:t>
      </w:r>
      <w:r>
        <w:t xml:space="preserve">: characterizing Ladner Marsh as ‘pristine’ (line 328) inappropriate; restructured sentence to get main point across that </w:t>
      </w:r>
      <w:r w:rsidR="002A3B01">
        <w:t xml:space="preserve">there is a trend of biodiversity loss in conservation management area. </w:t>
      </w:r>
    </w:p>
    <w:p w14:paraId="2D36A556" w14:textId="568387AE" w:rsidR="00897D0A" w:rsidRDefault="00EB1668" w:rsidP="00897D0A">
      <w:r>
        <w:t xml:space="preserve">MOC had concerns for some overgeneralizations in the Discussion. I’ve rephrased these to not overextend inferences </w:t>
      </w:r>
      <w:r w:rsidR="00B94A73">
        <w:t xml:space="preserve">the data can provide: </w:t>
      </w:r>
    </w:p>
    <w:p w14:paraId="00CC76D6" w14:textId="740E428E" w:rsidR="00CF41A2" w:rsidRDefault="00CF41A2" w:rsidP="00B94A73">
      <w:pPr>
        <w:pStyle w:val="ListParagraph"/>
        <w:numPr>
          <w:ilvl w:val="0"/>
          <w:numId w:val="1"/>
        </w:numPr>
      </w:pPr>
      <w:r>
        <w:t>(lines 241-246):</w:t>
      </w:r>
      <w:r w:rsidR="00E9075D">
        <w:t xml:space="preserve"> </w:t>
      </w:r>
      <w:r w:rsidR="002F1760">
        <w:t xml:space="preserve">“We observed a decline of native species richness … </w:t>
      </w:r>
      <w:r w:rsidR="002F1760" w:rsidRPr="00A65C0C">
        <w:rPr>
          <w:u w:val="single"/>
        </w:rPr>
        <w:t>may indicate a loss of community stability</w:t>
      </w:r>
      <w:r w:rsidR="002F1760">
        <w:t xml:space="preserve">. </w:t>
      </w:r>
      <w:r w:rsidR="00C661BC">
        <w:t xml:space="preserve">… Our results present a </w:t>
      </w:r>
      <w:r w:rsidR="00C661BC" w:rsidRPr="00A65C0C">
        <w:rPr>
          <w:u w:val="single"/>
        </w:rPr>
        <w:t>compelling</w:t>
      </w:r>
      <w:r w:rsidR="00C661BC">
        <w:t xml:space="preserve"> case example of … global trends of native species biodiversity loss, …” Concern was that evidence</w:t>
      </w:r>
      <w:r w:rsidR="008F76CC">
        <w:t xml:space="preserve"> presented was insufficient</w:t>
      </w:r>
      <w:r w:rsidR="00C661BC">
        <w:t xml:space="preserve"> to support (1) loss of richness directly indicates loss of stability, and (2) </w:t>
      </w:r>
      <w:r w:rsidR="008F76CC" w:rsidRPr="008F76CC">
        <w:rPr>
          <w:u w:val="single"/>
        </w:rPr>
        <w:t>compelling</w:t>
      </w:r>
      <w:r w:rsidR="008F76CC">
        <w:t xml:space="preserve"> native richness loss within Ladner Marsh </w:t>
      </w:r>
    </w:p>
    <w:p w14:paraId="76A86DF0" w14:textId="67F7E2E2" w:rsidR="00C661BC" w:rsidRDefault="008F76CC" w:rsidP="00C661BC">
      <w:pPr>
        <w:pStyle w:val="ListParagraph"/>
        <w:numPr>
          <w:ilvl w:val="1"/>
          <w:numId w:val="1"/>
        </w:numPr>
      </w:pPr>
      <w:r>
        <w:t>Amended to state: “</w:t>
      </w:r>
      <w:r w:rsidRPr="00114665">
        <w:t>W</w:t>
      </w:r>
      <w:r w:rsidRPr="00306F95">
        <w:t xml:space="preserve">e observed a decline of native species richness accompanied by an increased richness and abundance of </w:t>
      </w:r>
      <w:r>
        <w:t>non-native</w:t>
      </w:r>
      <w:r w:rsidRPr="00306F95">
        <w:t xml:space="preserve"> species</w:t>
      </w:r>
      <w:r>
        <w:t>. Of greater concern is our observation of the homogenization of cover abundance within assemblages, and overall loss of indicator species for the Sedge and Fescue assemblages. Increasing abundance of non-native species within each assemblage is likely driving the greater similarity within assemblages (homogenization) and greater dissimilarity between assemblages, as shown by cluster analysis (</w:t>
      </w:r>
      <w:r>
        <w:fldChar w:fldCharType="begin"/>
      </w:r>
      <w:r>
        <w:instrText xml:space="preserve"> REF _Ref94197029 \h </w:instrText>
      </w:r>
      <w:r>
        <w:fldChar w:fldCharType="separate"/>
      </w:r>
      <w:r>
        <w:t xml:space="preserve">Figure </w:t>
      </w:r>
      <w:r>
        <w:rPr>
          <w:noProof/>
        </w:rPr>
        <w:t>2</w:t>
      </w:r>
      <w:r>
        <w:fldChar w:fldCharType="end"/>
      </w:r>
      <w:r>
        <w:t xml:space="preserve">). </w:t>
      </w:r>
      <w:r w:rsidRPr="008F76CC">
        <w:rPr>
          <w:u w:val="single"/>
        </w:rPr>
        <w:t xml:space="preserve">While addition of non-native species can contribute to greater biodiversity </w:t>
      </w:r>
      <w:r w:rsidRPr="008F76CC">
        <w:rPr>
          <w:u w:val="single"/>
        </w:rPr>
        <w:fldChar w:fldCharType="begin"/>
      </w:r>
      <w:r w:rsidRPr="008F76CC">
        <w:rPr>
          <w:u w:val="single"/>
        </w:rPr>
        <w:instrText xml:space="preserve"> ADDIN ZOTERO_ITEM CSL_CITATION {"citationID":"MWHp9jyQ","properties":{"formattedCitation":"(Sagoff, 2005)","plainCitation":"(Sagoff, 2005)","noteIndex":0},"citationItems":[{"id":2861,"uris":["http://zotero.org/users/6092945/items/PG8GJAI3"],"itemData":{"id":2861,"type":"article-journal","abstract":"Conservation biologists and other environmentalists confront five obstacles in building support for regulatory policies that seek to exclude or remove introduced plants and other non-native species that threaten to harm natural areas or the natural environment. First, the concept of “harm to the natural environment” is nebulous and undefined. Second, ecologists cannot predict how introduced species will behave in natural ecosystems. If biologists cannot define “harm” or predict the behavior of introduced species, they must target all non-native species as potentially “harmful”. an impossibly large regulatory task. Third, loss of species richness may constitute harm to an environment, but introduced organisms typically, generally, and significantly add to species richness in ecosystems. If species richness correlates with desirable ecosystem properties, moreover, such as stability and productivity, as some ecologists believe, then introduced organisms, by increasing species richness, would support those desirable properties. Fourth, one may plausibly argue that extinction constitutes environmental harm, but there is no evidence that non-native species, especially plants, are significant causes of extinction, except for predators in certain lakes and other small island-like environments. Fifth, while aesthetic, ethical, and spiritual values may provide a legitimate basis for invasive species policy, biologists often cite concepts such as “biodiversity” and ecosystem “health” or “integrity” to provide a scientific justification. To assert that non-native species threaten biodiversity or undermine ecosystem health, however, may be to draw conceptual entailments or consequences from definitions of “biodiversity” and “integrity” that arbitrarily exclude non-native species or make the presence of exotic species a per se indicator of decline.","container-title":"Journal of Agricultural and Environmental Ethics","DOI":"10.1007/s10806-005-1500-y","ISSN":"1573-322X","issue":"3","journalAbbreviation":"J Agric Environ Ethics","language":"en","page":"215-236","source":"Springer Link","title":"Do Non-Native Species Threaten The Natural Environment?","volume":"18","author":[{"family":"Sagoff","given":"Mark"}],"issued":{"date-parts":[["2005",5,1]]}}}],"schema":"https://github.com/citation-style-language/schema/raw/master/csl-citation.json"} </w:instrText>
      </w:r>
      <w:r w:rsidRPr="008F76CC">
        <w:rPr>
          <w:u w:val="single"/>
        </w:rPr>
        <w:fldChar w:fldCharType="separate"/>
      </w:r>
      <w:r w:rsidRPr="008F76CC">
        <w:rPr>
          <w:rFonts w:ascii="Calibri" w:hAnsi="Calibri" w:cs="Calibri"/>
          <w:u w:val="single"/>
        </w:rPr>
        <w:t>(</w:t>
      </w:r>
      <w:proofErr w:type="spellStart"/>
      <w:r w:rsidRPr="008F76CC">
        <w:rPr>
          <w:rFonts w:ascii="Calibri" w:hAnsi="Calibri" w:cs="Calibri"/>
          <w:u w:val="single"/>
        </w:rPr>
        <w:t>Sagoff</w:t>
      </w:r>
      <w:proofErr w:type="spellEnd"/>
      <w:r w:rsidRPr="008F76CC">
        <w:rPr>
          <w:rFonts w:ascii="Calibri" w:hAnsi="Calibri" w:cs="Calibri"/>
          <w:u w:val="single"/>
        </w:rPr>
        <w:t>, 2005)</w:t>
      </w:r>
      <w:r w:rsidRPr="008F76CC">
        <w:rPr>
          <w:u w:val="single"/>
        </w:rPr>
        <w:fldChar w:fldCharType="end"/>
      </w:r>
      <w:r w:rsidRPr="008F76CC">
        <w:rPr>
          <w:u w:val="single"/>
        </w:rPr>
        <w:t xml:space="preserve">, the homogenization of plant communities leads to </w:t>
      </w:r>
      <w:r w:rsidRPr="008F76CC">
        <w:rPr>
          <w:u w:val="single"/>
        </w:rPr>
        <w:lastRenderedPageBreak/>
        <w:t xml:space="preserve">lower diversity overall </w:t>
      </w:r>
      <w:r w:rsidRPr="008F76CC">
        <w:rPr>
          <w:u w:val="single"/>
        </w:rPr>
        <w:fldChar w:fldCharType="begin"/>
      </w:r>
      <w:r w:rsidRPr="008F76CC">
        <w:rPr>
          <w:u w:val="single"/>
        </w:rPr>
        <w:instrText xml:space="preserve"> ADDIN ZOTERO_ITEM CSL_CITATION {"citationID":"p6Njwv7L","properties":{"formattedCitation":"(Houlahan &amp; Findlay, 2004)","plainCitation":"(Houlahan &amp; Findlay, 2004)","noteIndex":0},"citationItems":[{"id":2863,"uris":["http://zotero.org/users/6092945/items/JPU27GB8"],"itemData":{"id":2863,"type":"article-journal","abstract":"Abstract: Invasive species are a major threat to global biodiversity and an important cause of biotic homogenization of ecosystems. Exotic plants have been identified as a particular concern because of the widely held belief that they competitively exclude native plant species. We examined the correlation between native and invasive species richness in 58 Ontario inland wetlands. The relationship between exotic and native species richness was positive even when we controlled for important covarying factors. In addition, we examined the relationship between the abundance of four native species ( Typha latifolia, T. angustifolia, Salix petiolaris, Nuphar variegatum) and four invasive species ( Lythrum salicaria, Hydrocharis morsus-ranae, Phalaris arundinacea, Rhamnus frangula) that often dominate temperate wetlands and native and rare native species richness. Exotic species were no more likely to dominate a wetland than native species, and the proportion of dominant exotic species that had a significant negative effect on the native plant community was the same as the proportion of native species with a significant negative effect. We conclude that the key to conservation of inland wetland biodiversity is to discourage the spread of community dominants, regardless of geographical origin.","container-title":"Conservation Biology","DOI":"10.1111/j.1523-1739.2004.00391.x","ISSN":"1523-1739","issue":"4","language":"en","note":"_eprint: https://onlinelibrary.wiley.com/doi/pdf/10.1111/j.1523-1739.2004.00391.x","page":"1132-1138","source":"Wiley Online Library","title":"Effect of Invasive Plant Species on Temperate Wetland Plant Diversity","volume":"18","author":[{"family":"Houlahan","given":"Jeff E."},{"family":"Findlay","given":"C. Scott"}],"issued":{"date-parts":[["2004"]]}}}],"schema":"https://github.com/citation-style-language/schema/raw/master/csl-citation.json"} </w:instrText>
      </w:r>
      <w:r w:rsidRPr="008F76CC">
        <w:rPr>
          <w:u w:val="single"/>
        </w:rPr>
        <w:fldChar w:fldCharType="separate"/>
      </w:r>
      <w:r w:rsidRPr="008F76CC">
        <w:rPr>
          <w:rFonts w:ascii="Calibri" w:hAnsi="Calibri" w:cs="Calibri"/>
          <w:u w:val="single"/>
        </w:rPr>
        <w:t>(</w:t>
      </w:r>
      <w:proofErr w:type="spellStart"/>
      <w:r w:rsidRPr="008F76CC">
        <w:rPr>
          <w:rFonts w:ascii="Calibri" w:hAnsi="Calibri" w:cs="Calibri"/>
          <w:u w:val="single"/>
        </w:rPr>
        <w:t>Houlahan</w:t>
      </w:r>
      <w:proofErr w:type="spellEnd"/>
      <w:r w:rsidRPr="008F76CC">
        <w:rPr>
          <w:rFonts w:ascii="Calibri" w:hAnsi="Calibri" w:cs="Calibri"/>
          <w:u w:val="single"/>
        </w:rPr>
        <w:t xml:space="preserve"> &amp; Findlay, 2004)</w:t>
      </w:r>
      <w:r w:rsidRPr="008F76CC">
        <w:rPr>
          <w:u w:val="single"/>
        </w:rPr>
        <w:fldChar w:fldCharType="end"/>
      </w:r>
      <w:r w:rsidRPr="008F76CC">
        <w:rPr>
          <w:u w:val="single"/>
        </w:rPr>
        <w:t xml:space="preserve">, which in turn may lead to lower functional redundancy and potential for reduced ecosystem stability </w:t>
      </w:r>
      <w:r w:rsidRPr="008F76CC">
        <w:rPr>
          <w:u w:val="single"/>
        </w:rPr>
        <w:fldChar w:fldCharType="begin"/>
      </w:r>
      <w:r w:rsidRPr="008F76CC">
        <w:rPr>
          <w:u w:val="single"/>
        </w:rPr>
        <w:instrText xml:space="preserve"> ADDIN ZOTERO_ITEM CSL_CITATION {"citationID":"MMWZhhuC","properties":{"formattedCitation":"(de Bello et al., 2021)","plainCitation":"(de Bello et al., 2021)","noteIndex":0},"citationItems":[{"id":2495,"uris":["http://zotero.org/users/6092945/items/H73DAWT3"],"itemData":{"id":2495,"type":"article-journal","abstract":"Under global change, how biological diversity and ecosystem services are maintained in time is a fundamental question. Ecologists have long argued about multiple mechanisms by which local biodiversity might control the temporal stability of ecosystem properties. Accumulating theories and empirical evidence suggest that, together with different population and community parameters, these mechanisms largely operate through differences in functional traits among organisms. We review potential trait-stability mechanisms together with underlying tests and associated metrics. We identify various trait-based components, each accounting for different stability mechanisms, that contribute to buffering, or propagating, the effect of environmental fluctuations on ecosystem functioning. This comprehensive picture, obtained by combining different puzzle pieces of trait-stability effects, will guide future empirical and modeling investigations.","container-title":"Trends in Ecology &amp; Evolution","DOI":"10.1016/j.tree.2021.05.001","ISSN":"0169-5347","issue":"9","journalAbbreviation":"Trends in Ecology &amp; Evolution","language":"en","page":"822-836","source":"ScienceDirect","title":"Functional trait effects on ecosystem stability: assembling the jigsaw puzzle","title-short":"Functional trait effects on ecosystem stability","volume":"36","author":[{"family":"Bello","given":"Francesco","non-dropping-particle":"de"},{"family":"Lavorel","given":"Sandra"},{"family":"Hallett","given":"Lauren M."},{"family":"Valencia","given":"Enrique"},{"family":"Garnier","given":"Eric"},{"family":"Roscher","given":"Christiane"},{"family":"Conti","given":"Luisa"},{"family":"Galland","given":"Thomas"},{"family":"Goberna","given":"Marta"},{"family":"Májeková","given":"Maria"},{"family":"Montesinos-Navarro","given":"Alicia"},{"family":"Pausas","given":"Juli G."},{"family":"Verdú","given":"Miguel"},{"family":"E-Vojtkó","given":"Anna"},{"family":"Götzenberger","given":"Lars"},{"family":"Lepš","given":"Jan"}],"issued":{"date-parts":[["2021",9,1]]}}}],"schema":"https://github.com/citation-style-language/schema/raw/master/csl-citation.json"} </w:instrText>
      </w:r>
      <w:r w:rsidRPr="008F76CC">
        <w:rPr>
          <w:u w:val="single"/>
        </w:rPr>
        <w:fldChar w:fldCharType="separate"/>
      </w:r>
      <w:r w:rsidRPr="008F76CC">
        <w:rPr>
          <w:rFonts w:ascii="Calibri" w:hAnsi="Calibri" w:cs="Calibri"/>
          <w:u w:val="single"/>
        </w:rPr>
        <w:t>(de Bello et al., 2021)</w:t>
      </w:r>
      <w:r w:rsidRPr="008F76CC">
        <w:rPr>
          <w:u w:val="single"/>
        </w:rPr>
        <w:fldChar w:fldCharType="end"/>
      </w:r>
      <w:r>
        <w:t>.”</w:t>
      </w:r>
    </w:p>
    <w:p w14:paraId="21F5C1F9" w14:textId="0EF8FB46" w:rsidR="00B94A73" w:rsidRDefault="00B94A73" w:rsidP="00B94A73">
      <w:pPr>
        <w:pStyle w:val="ListParagraph"/>
        <w:numPr>
          <w:ilvl w:val="0"/>
          <w:numId w:val="1"/>
        </w:numPr>
      </w:pPr>
      <w:r>
        <w:t>(lines 288-292)</w:t>
      </w:r>
      <w:r w:rsidR="009F56EE">
        <w:t>: “More concerning is the net loss of (five) … species over the study period</w:t>
      </w:r>
      <w:r w:rsidR="00031CA0">
        <w:t xml:space="preserve">, </w:t>
      </w:r>
      <w:r w:rsidR="00031CA0">
        <w:rPr>
          <w:rFonts w:cstheme="minorHAnsi"/>
        </w:rPr>
        <w:t>as this represents a loss of functional redundancy</w:t>
      </w:r>
      <w:r w:rsidR="00031CA0">
        <w:t xml:space="preserve">.” </w:t>
      </w:r>
      <w:r w:rsidR="009F56EE">
        <w:t xml:space="preserve">Here, concern was this could be interpreted as total loss from Ladner Marsh (rather than just the survey plots). </w:t>
      </w:r>
    </w:p>
    <w:p w14:paraId="2ECCA908" w14:textId="1ACEEE61" w:rsidR="009F56EE" w:rsidRDefault="00031CA0" w:rsidP="009F56EE">
      <w:pPr>
        <w:pStyle w:val="ListParagraph"/>
        <w:numPr>
          <w:ilvl w:val="1"/>
          <w:numId w:val="1"/>
        </w:numPr>
      </w:pPr>
      <w:r>
        <w:t>Added</w:t>
      </w:r>
      <w:r w:rsidR="009F56EE">
        <w:t xml:space="preserve">: “… </w:t>
      </w:r>
      <w:r>
        <w:rPr>
          <w:rFonts w:cstheme="minorHAnsi"/>
        </w:rPr>
        <w:t xml:space="preserve">as this represents a loss of functional redundancy. This species loss from the observed datasets may not represent species loss from the entire Ladner Marsh Wildlife Management Area, </w:t>
      </w:r>
      <w:r w:rsidRPr="001D7CD1">
        <w:rPr>
          <w:rFonts w:cstheme="minorHAnsi"/>
        </w:rPr>
        <w:t>however</w:t>
      </w:r>
      <w:r>
        <w:rPr>
          <w:rFonts w:cstheme="minorHAnsi"/>
        </w:rPr>
        <w:t xml:space="preserve"> the net species loss from the dataset, along with the addition of three non-native species to the datasets, poses concern for potential of species loss from the habitat over time.”</w:t>
      </w:r>
    </w:p>
    <w:p w14:paraId="73D0E3AE" w14:textId="6963007A" w:rsidR="00B94A73" w:rsidRDefault="00B94A73" w:rsidP="00B94A73">
      <w:pPr>
        <w:pStyle w:val="ListParagraph"/>
        <w:numPr>
          <w:ilvl w:val="0"/>
          <w:numId w:val="1"/>
        </w:numPr>
      </w:pPr>
      <w:r>
        <w:t xml:space="preserve">(lines 302-304) “…native species loss … </w:t>
      </w:r>
      <w:r w:rsidRPr="00992EBA">
        <w:rPr>
          <w:u w:val="single"/>
        </w:rPr>
        <w:t>result(s)</w:t>
      </w:r>
      <w:r>
        <w:t xml:space="preserve"> in ecosystem instab</w:t>
      </w:r>
      <w:r w:rsidR="003B11EE">
        <w:t xml:space="preserve">ility through altered trophic cascades…” </w:t>
      </w:r>
    </w:p>
    <w:p w14:paraId="161634F8" w14:textId="0AA400E0" w:rsidR="003B11EE" w:rsidRDefault="003B11EE" w:rsidP="003B11EE">
      <w:pPr>
        <w:pStyle w:val="ListParagraph"/>
        <w:numPr>
          <w:ilvl w:val="1"/>
          <w:numId w:val="1"/>
        </w:numPr>
      </w:pPr>
      <w:r>
        <w:t xml:space="preserve">Changed to: “…native species loss … potentially lead(s) to ecosystem instability through altered trophic cascades, </w:t>
      </w:r>
      <w:bookmarkStart w:id="2" w:name="_Hlk123890820"/>
      <w:r>
        <w:t xml:space="preserve">especially when top-down </w:t>
      </w:r>
      <w:r w:rsidR="00A11A19">
        <w:t xml:space="preserve">trophic interactions are also lost </w:t>
      </w:r>
      <w:bookmarkEnd w:id="2"/>
      <w:r w:rsidR="00BC4C9C">
        <w:t xml:space="preserve">from the ecosystem </w:t>
      </w:r>
      <w:r w:rsidR="00A11A19">
        <w:t>(Duffy, 2003, Ecol. Letters).”</w:t>
      </w:r>
    </w:p>
    <w:p w14:paraId="1D1E4503" w14:textId="1A8D6E43" w:rsidR="00B94A73" w:rsidRDefault="00B94A73" w:rsidP="00B94A73">
      <w:pPr>
        <w:pStyle w:val="ListParagraph"/>
        <w:numPr>
          <w:ilvl w:val="0"/>
          <w:numId w:val="1"/>
        </w:numPr>
      </w:pPr>
      <w:r>
        <w:t>(lines 324-327)</w:t>
      </w:r>
      <w:r w:rsidR="00B1485D">
        <w:t xml:space="preserve"> “</w:t>
      </w:r>
      <w:r w:rsidR="005C7708">
        <w:t xml:space="preserve">…(mis)assumption that ‘undisturbed’ areas represent … appropriate reference states. Our findings </w:t>
      </w:r>
      <w:r w:rsidR="005C7708" w:rsidRPr="001A5176">
        <w:rPr>
          <w:u w:val="single"/>
        </w:rPr>
        <w:t>support</w:t>
      </w:r>
      <w:r w:rsidR="005C7708">
        <w:t xml:space="preserve"> … sites [like Ladner Marsh] are </w:t>
      </w:r>
      <w:r w:rsidR="005C7708" w:rsidRPr="001A5176">
        <w:rPr>
          <w:u w:val="single"/>
        </w:rPr>
        <w:t>not sufficient</w:t>
      </w:r>
      <w:r w:rsidR="005C7708">
        <w:t xml:space="preserve"> benchmarks …”</w:t>
      </w:r>
      <w:r w:rsidR="00B61030">
        <w:t xml:space="preserve"> </w:t>
      </w:r>
      <w:r w:rsidR="005C7708">
        <w:t xml:space="preserve">Concern is that </w:t>
      </w:r>
      <w:r w:rsidR="00BE0BC5">
        <w:t xml:space="preserve">this implies Ladner Marsh is not a suitable control site for comparison. </w:t>
      </w:r>
    </w:p>
    <w:p w14:paraId="4DA2DCEE" w14:textId="2486C312" w:rsidR="00BE0BC5" w:rsidRPr="00897D0A" w:rsidRDefault="00446538" w:rsidP="00BE0BC5">
      <w:pPr>
        <w:pStyle w:val="ListParagraph"/>
        <w:numPr>
          <w:ilvl w:val="1"/>
          <w:numId w:val="1"/>
        </w:numPr>
      </w:pPr>
      <w:r>
        <w:t xml:space="preserve">Changed to: “……(mis)assumption that ‘undisturbed’ areas represent … appropriate reference states. Our findings illustrate how, in a heavily impacted landscape </w:t>
      </w:r>
      <w:r>
        <w:fldChar w:fldCharType="begin"/>
      </w:r>
      <w:r>
        <w:instrText xml:space="preserve"> ADDIN ZOTERO_ITEM CSL_CITATION {"citationID":"XcHAzoDL","properties":{"formattedCitation":"(Finn et al., 2021)","plainCitation":"(Finn et al., 2021)","noteIndex":0},"citationItems":[{"id":2606,"uris":["http://zotero.org/users/6092945/items/WDJBGYMR"],"itemData":{"id":2606,"type":"article-journal","abstract":"Loss of connectivity caused by anthropogenic barriers is a key threat for migratory freshwater species. The anadromous life history of salmonids means that barriers on streams can decrease the amount of habitat available for spawning and rearing. To set appropriate targets for restoration, it is important to know how different populations have been impacted in terms of the location and extent of historically available habitat that has been lost or has become inaccessible. Using mapped and predicted barriers to fish passage in streams and diking infrastructure, the amount of both floodplain and linear stream habitat that remains accessible today was estimated for 14 populations of salmon in the Lower Fraser River, British Columbia, Canada’s most productive salmon river. To place these estimates within a historical context, the floodplain area was estimated using vegetation records from the 1850s, and lost streams were estimated using a digital elevation model-derived stream network. To bolster areas where little mapping has been done, current barrier data were used to predict locations likely to have barriers. Accessibility to floodplain was poor across the entire region with only 15% of the historical floodplain remaining accessible. Linear stream habitat ranged in accessibility from 28% to 99% across populations based on mapped barriers. Inclusion of predicted barriers revealed an additional 33 km of potentially inaccessible stream habitat and the modeled stream network located approximately 1700 km of stream length that has been completely lost. Comparing habitat accessibility and barrier density against the assessed status of populations revealed insights useful for understanding the impact of barriers on spawning and rearing and guiding the allocation of restoration effort. Applying methods for addressing missing data, such as lost streams and unmapped barriers, was essential for estimating the accessibility of habitat within a historical context. While much emphasis has been placed on the role of marine conditions in wild Pacific salmon recovery, the magnitude of habitat loss in the Fraser cannot be ignored and suggests it is a major driver of observed salmon declines.","container-title":"Ecosphere","DOI":"10.1002/ecs2.3646","ISSN":"2150-8925","issue":"7","language":"en","note":"_eprint: https://onlinelibrary.wiley.com/doi/pdf/10.1002/ecs2.3646","page":"e03646","source":"Wiley Online Library","title":"Quantifying lost and inaccessible habitat for Pacific salmon in Canada’s Lower Fraser River","volume":"12","author":[{"family":"Finn","given":"Riley J. R."},{"family":"Chalifour","given":"Lia"},{"family":"Gergel","given":"Sarah E."},{"family":"Hinch","given":"Scott G."},{"family":"Scott","given":"David C."},{"family":"Martin","given":"Tara G."}],"issued":{"date-parts":[["2021"]]}}}],"schema":"https://github.com/citation-style-language/schema/raw/master/csl-citation.json"} </w:instrText>
      </w:r>
      <w:r>
        <w:fldChar w:fldCharType="separate"/>
      </w:r>
      <w:r w:rsidRPr="00C244E6">
        <w:rPr>
          <w:rFonts w:ascii="Calibri" w:hAnsi="Calibri" w:cs="Calibri"/>
        </w:rPr>
        <w:t>(Finn et al., 2021)</w:t>
      </w:r>
      <w:r>
        <w:fldChar w:fldCharType="end"/>
      </w:r>
      <w:r>
        <w:t>, compositional states have likely shifted from recent (&lt; 100 years) historical reference, yet may still contribute value as an example of potential ecological benchmarks for restoration success</w:t>
      </w:r>
      <w:r>
        <w:rPr>
          <w:rFonts w:ascii="Calibri" w:hAnsi="Calibri" w:cs="Calibri"/>
        </w:rPr>
        <w:t xml:space="preserve"> </w:t>
      </w:r>
      <w:r>
        <w:rPr>
          <w:rFonts w:ascii="Calibri" w:hAnsi="Calibri" w:cs="Calibri"/>
        </w:rPr>
        <w:fldChar w:fldCharType="begin"/>
      </w:r>
      <w:r>
        <w:rPr>
          <w:rFonts w:ascii="Calibri" w:hAnsi="Calibri" w:cs="Calibri"/>
        </w:rPr>
        <w:instrText xml:space="preserve"> ADDIN ZOTERO_ITEM CSL_CITATION {"citationID":"WZOHJs2F","properties":{"formattedCitation":"(Shackelford, Dudney, Stueber, Temperton, &amp; Suding, 2021)","plainCitation":"(Shackelford, Dudney, Stueber, Temperton, &amp; Suding, 2021)","dontUpdate":true,"noteIndex":0},"citationItems":[{"id":2638,"uris":["http://zotero.org/users/6092945/items/HLB6X43B"],"itemData":{"id":2638,"type":"article-journal","abstract":"Restoration has long used the reference concept as a cornerstone in setting targets, designing interventions, and benchmarking success. Following the initial applications of restoration references, however, the definition and broader relevance has been debated. Particularly in an era of directional global change, using historic or even contemporary ecosystem models has been contentious among restoration scientists and practitioners. In response, there have been calls for increasing flexibility in how references are defined and diversifying sources of data used to describe a reference. Previous frameworks suggest reference information can be drawn from sources across two main axes of time and space, covering historic to contemporary sources, and near to far spatial scales. We extend these axes by including future projections of climate and species composition and regional ecological information that is spatially disconnected from defined ecosystem types. Using this new framework, we conducted a review of restoration literature published between 2010 and 2020, extracting the temporal and spatial scales of reference data and classifying reference metrics by data type. The studies overwhelmingly focused on contemporary, ecosystem-specific references to benchmark a completed project's success. The most commonly reported reference metrics were plant-based, and contemporary reference data sources were more diverse than historical or future reference data. As global conditions continue to shift, we suggest that restoration projects would benefit by expanding reference site information to include forecasted and spatially diverse data. A greater diversity of data sources can enable higher flexibility and long-term restoration success in the face of global change.","container-title":"Restoration Ecology","DOI":"10.1111/rec.13541","ISSN":"1526-100X","issue":"n/a","language":"en","note":"_eprint: https://onlinelibrary.wiley.com/doi/pdf/10.1111/rec.13541","page":"e13541","source":"Wiley Online Library","title":"Measuring at all scales: sourcing data for more flexible restoration references","title-short":"Measuring at all scales","volume":"n/a","author":[{"family":"Shackelford","given":"Nancy"},{"family":"Dudney","given":"Joan"},{"family":"Stueber","given":"Melinda M."},{"family":"Temperton","given":"Vicky M."},{"family":"Suding","given":"Katharine L."}],"issued":{"date-parts":[["2021"]]}}}],"schema":"https://github.com/citation-style-language/schema/raw/master/csl-citation.json"} </w:instrText>
      </w:r>
      <w:r>
        <w:rPr>
          <w:rFonts w:ascii="Calibri" w:hAnsi="Calibri" w:cs="Calibri"/>
        </w:rPr>
        <w:fldChar w:fldCharType="separate"/>
      </w:r>
      <w:r w:rsidRPr="00D41379">
        <w:rPr>
          <w:rFonts w:ascii="Calibri" w:hAnsi="Calibri" w:cs="Calibri"/>
        </w:rPr>
        <w:t xml:space="preserve">(Shackelford, </w:t>
      </w:r>
      <w:r>
        <w:rPr>
          <w:rFonts w:ascii="Calibri" w:hAnsi="Calibri" w:cs="Calibri"/>
        </w:rPr>
        <w:t>et al.</w:t>
      </w:r>
      <w:r w:rsidRPr="00D41379">
        <w:rPr>
          <w:rFonts w:ascii="Calibri" w:hAnsi="Calibri" w:cs="Calibri"/>
        </w:rPr>
        <w:t>, 2021)</w:t>
      </w:r>
      <w:r>
        <w:rPr>
          <w:rFonts w:ascii="Calibri" w:hAnsi="Calibri" w:cs="Calibri"/>
        </w:rPr>
        <w:fldChar w:fldCharType="end"/>
      </w:r>
      <w:r>
        <w:t xml:space="preserve">. We suggest that the plant community changes described here should alert land managers not only to what species diversity might be targeted in conservation practice, but also to how reference ideals may </w:t>
      </w:r>
      <w:r w:rsidR="00B61030">
        <w:t xml:space="preserve">have </w:t>
      </w:r>
      <w:r>
        <w:t>change</w:t>
      </w:r>
      <w:r w:rsidR="00B61030">
        <w:t>d</w:t>
      </w:r>
      <w:r>
        <w:t xml:space="preserve"> during the span of 20-40 years.</w:t>
      </w:r>
      <w:r w:rsidR="00B61030">
        <w:t>”</w:t>
      </w:r>
    </w:p>
    <w:p w14:paraId="1C5E4ECB" w14:textId="69018E52" w:rsidR="00897D0A" w:rsidRDefault="00897D0A" w:rsidP="00897D0A"/>
    <w:p w14:paraId="7BBDD20D" w14:textId="77777777" w:rsidR="00897D0A" w:rsidRPr="00897D0A" w:rsidRDefault="00897D0A" w:rsidP="00897D0A"/>
    <w:sectPr w:rsidR="00897D0A" w:rsidRPr="00897D0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BC94C" w14:textId="77777777" w:rsidR="008F76CC" w:rsidRDefault="008F76CC" w:rsidP="00AC4F83">
      <w:pPr>
        <w:spacing w:after="0" w:line="240" w:lineRule="auto"/>
      </w:pPr>
      <w:r>
        <w:separator/>
      </w:r>
    </w:p>
  </w:endnote>
  <w:endnote w:type="continuationSeparator" w:id="0">
    <w:p w14:paraId="1AE2D7BD" w14:textId="77777777" w:rsidR="008F76CC" w:rsidRDefault="008F76CC" w:rsidP="00AC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5F7FC" w14:textId="77777777" w:rsidR="008F76CC" w:rsidRDefault="008F76CC" w:rsidP="00AC4F83">
      <w:pPr>
        <w:spacing w:after="0" w:line="240" w:lineRule="auto"/>
      </w:pPr>
      <w:r>
        <w:separator/>
      </w:r>
    </w:p>
  </w:footnote>
  <w:footnote w:type="continuationSeparator" w:id="0">
    <w:p w14:paraId="515D50C7" w14:textId="77777777" w:rsidR="008F76CC" w:rsidRDefault="008F76CC" w:rsidP="00AC4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200F9" w14:textId="07323CA0" w:rsidR="008F76CC" w:rsidRDefault="008F76CC">
    <w:pPr>
      <w:pStyle w:val="Header"/>
    </w:pPr>
    <w:r>
      <w:t>Lane et al., 2023. Reviewer comments &amp; responses: Community Stability in Ladner Marsh</w:t>
    </w:r>
  </w:p>
  <w:p w14:paraId="37D218EB" w14:textId="77777777" w:rsidR="008F76CC" w:rsidRDefault="008F76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13256"/>
    <w:multiLevelType w:val="hybridMultilevel"/>
    <w:tmpl w:val="AA725386"/>
    <w:lvl w:ilvl="0" w:tplc="BF3A89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C0208C"/>
    <w:multiLevelType w:val="hybridMultilevel"/>
    <w:tmpl w:val="55028D5C"/>
    <w:lvl w:ilvl="0" w:tplc="E9E4752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514"/>
    <w:rsid w:val="00013CB7"/>
    <w:rsid w:val="00031CA0"/>
    <w:rsid w:val="000A7835"/>
    <w:rsid w:val="00142A07"/>
    <w:rsid w:val="00174DE7"/>
    <w:rsid w:val="001A0F24"/>
    <w:rsid w:val="001A5176"/>
    <w:rsid w:val="00265B9A"/>
    <w:rsid w:val="0028521D"/>
    <w:rsid w:val="002A3B01"/>
    <w:rsid w:val="002F03FD"/>
    <w:rsid w:val="002F1760"/>
    <w:rsid w:val="00354CF2"/>
    <w:rsid w:val="0035763F"/>
    <w:rsid w:val="00371514"/>
    <w:rsid w:val="0039242F"/>
    <w:rsid w:val="003B11EE"/>
    <w:rsid w:val="00414447"/>
    <w:rsid w:val="00445369"/>
    <w:rsid w:val="00446538"/>
    <w:rsid w:val="004B1AF4"/>
    <w:rsid w:val="00540CD5"/>
    <w:rsid w:val="005410FB"/>
    <w:rsid w:val="00554EF9"/>
    <w:rsid w:val="00590491"/>
    <w:rsid w:val="005B62D5"/>
    <w:rsid w:val="005C5018"/>
    <w:rsid w:val="005C7708"/>
    <w:rsid w:val="005F5C04"/>
    <w:rsid w:val="00601D07"/>
    <w:rsid w:val="00627FCE"/>
    <w:rsid w:val="0065590A"/>
    <w:rsid w:val="0066215A"/>
    <w:rsid w:val="00691ACC"/>
    <w:rsid w:val="006C7BE8"/>
    <w:rsid w:val="00707F7A"/>
    <w:rsid w:val="00791E87"/>
    <w:rsid w:val="007F4A08"/>
    <w:rsid w:val="008315A9"/>
    <w:rsid w:val="00843916"/>
    <w:rsid w:val="00897D0A"/>
    <w:rsid w:val="008C7AB9"/>
    <w:rsid w:val="008D61E8"/>
    <w:rsid w:val="008F76CC"/>
    <w:rsid w:val="00911841"/>
    <w:rsid w:val="00921289"/>
    <w:rsid w:val="009263B3"/>
    <w:rsid w:val="009311B9"/>
    <w:rsid w:val="009561FF"/>
    <w:rsid w:val="00974C8B"/>
    <w:rsid w:val="00987F41"/>
    <w:rsid w:val="00992EBA"/>
    <w:rsid w:val="009D73C2"/>
    <w:rsid w:val="009F44DC"/>
    <w:rsid w:val="009F4D3D"/>
    <w:rsid w:val="009F56EE"/>
    <w:rsid w:val="009F589D"/>
    <w:rsid w:val="00A11A19"/>
    <w:rsid w:val="00A4486A"/>
    <w:rsid w:val="00A543B5"/>
    <w:rsid w:val="00A65C0C"/>
    <w:rsid w:val="00AB2621"/>
    <w:rsid w:val="00AC31EF"/>
    <w:rsid w:val="00AC4F83"/>
    <w:rsid w:val="00B1485D"/>
    <w:rsid w:val="00B35443"/>
    <w:rsid w:val="00B61030"/>
    <w:rsid w:val="00B75762"/>
    <w:rsid w:val="00B94A73"/>
    <w:rsid w:val="00B968DB"/>
    <w:rsid w:val="00BC4C9C"/>
    <w:rsid w:val="00BE0BC5"/>
    <w:rsid w:val="00C04A04"/>
    <w:rsid w:val="00C23F24"/>
    <w:rsid w:val="00C27429"/>
    <w:rsid w:val="00C64A4F"/>
    <w:rsid w:val="00C661BC"/>
    <w:rsid w:val="00C732B5"/>
    <w:rsid w:val="00CF41A2"/>
    <w:rsid w:val="00CF44A7"/>
    <w:rsid w:val="00D975DB"/>
    <w:rsid w:val="00DD34BD"/>
    <w:rsid w:val="00DF5429"/>
    <w:rsid w:val="00E7451C"/>
    <w:rsid w:val="00E83AD4"/>
    <w:rsid w:val="00E9075D"/>
    <w:rsid w:val="00EB1668"/>
    <w:rsid w:val="00F338ED"/>
    <w:rsid w:val="00F625B9"/>
    <w:rsid w:val="00F758C4"/>
    <w:rsid w:val="00FA458E"/>
    <w:rsid w:val="00FD1D40"/>
    <w:rsid w:val="00FF0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72BA"/>
  <w15:chartTrackingRefBased/>
  <w15:docId w15:val="{89AFB9DA-E0DB-45B0-AFEE-25E859406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D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D0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C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F83"/>
  </w:style>
  <w:style w:type="paragraph" w:styleId="Footer">
    <w:name w:val="footer"/>
    <w:basedOn w:val="Normal"/>
    <w:link w:val="FooterChar"/>
    <w:uiPriority w:val="99"/>
    <w:unhideWhenUsed/>
    <w:rsid w:val="00AC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F83"/>
  </w:style>
  <w:style w:type="paragraph" w:styleId="ListParagraph">
    <w:name w:val="List Paragraph"/>
    <w:basedOn w:val="Normal"/>
    <w:uiPriority w:val="34"/>
    <w:qFormat/>
    <w:rsid w:val="00931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B649CB-EF3B-4C85-907E-3DE41A4F09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D9296E-B188-44FA-B94C-2CF3F38F8EAE}">
  <ds:schemaRefs>
    <ds:schemaRef ds:uri="360018dd-41eb-4458-b1d4-4b46a95a2b02"/>
    <ds:schemaRef ds:uri="http://purl.org/dc/dcmitype/"/>
    <ds:schemaRef ds:uri="http://schemas.microsoft.com/office/2006/metadata/properties"/>
    <ds:schemaRef ds:uri="http://schemas.microsoft.com/office/2006/documentManagement/types"/>
    <ds:schemaRef ds:uri="http://purl.org/dc/elements/1.1/"/>
    <ds:schemaRef ds:uri="http://purl.org/dc/terms/"/>
    <ds:schemaRef ds:uri="http://schemas.microsoft.com/office/infopath/2007/PartnerControls"/>
    <ds:schemaRef ds:uri="http://schemas.openxmlformats.org/package/2006/metadata/core-properties"/>
    <ds:schemaRef ds:uri="8c008993-a31f-4b40-b1f3-88dd9c6e1924"/>
    <ds:schemaRef ds:uri="http://www.w3.org/XML/1998/namespace"/>
  </ds:schemaRefs>
</ds:datastoreItem>
</file>

<file path=customXml/itemProps3.xml><?xml version="1.0" encoding="utf-8"?>
<ds:datastoreItem xmlns:ds="http://schemas.openxmlformats.org/officeDocument/2006/customXml" ds:itemID="{0762B001-05A2-4D95-92E4-AC4FBE0904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3</Pages>
  <Words>3198</Words>
  <Characters>18230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Lane</dc:creator>
  <cp:keywords/>
  <dc:description/>
  <cp:lastModifiedBy>Stefanie Lane</cp:lastModifiedBy>
  <cp:revision>26</cp:revision>
  <dcterms:created xsi:type="dcterms:W3CDTF">2022-12-13T19:52:00Z</dcterms:created>
  <dcterms:modified xsi:type="dcterms:W3CDTF">2023-01-06T20:15:00Z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0x010100483727557648AA40B029C215891F95C5</vt:lpwstr>
  </property>
</Properties>
</file>