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311A156F" w14:textId="3F5892CF" w:rsidR="00F45F29" w:rsidRPr="002A5734" w:rsidRDefault="00100565" w:rsidP="0066777E">
      <w:pPr>
        <w:pStyle w:val="ListParagraph"/>
        <w:numPr>
          <w:ilvl w:val="0"/>
          <w:numId w:val="4"/>
        </w:numPr>
      </w:pPr>
      <w:r w:rsidRPr="002A5734">
        <w:t>The</w:t>
      </w:r>
      <w:r w:rsidR="00F75B96">
        <w:t xml:space="preserve"> global</w:t>
      </w:r>
      <w:r w:rsidRPr="002A5734">
        <w:t xml:space="preserve"> </w:t>
      </w:r>
      <w:r w:rsidRPr="00F75B96">
        <w:t xml:space="preserve">importance </w:t>
      </w:r>
      <w:r w:rsidR="00566C69" w:rsidRPr="00F75B96">
        <w:t>of</w:t>
      </w:r>
      <w:r w:rsidR="00D10058" w:rsidRPr="00F75B96">
        <w:t xml:space="preserve"> climate change</w:t>
      </w:r>
      <w:r w:rsidR="00ED752B">
        <w:t xml:space="preserve"> </w:t>
      </w:r>
      <w:r w:rsidR="007B5EB8" w:rsidRPr="002A5734">
        <w:t xml:space="preserve">impacts </w:t>
      </w:r>
      <w:r w:rsidR="00415113" w:rsidRPr="002A5734">
        <w:t xml:space="preserve">drives </w:t>
      </w:r>
      <w:r w:rsidR="00195D4F" w:rsidRPr="00982B42">
        <w:t xml:space="preserve">a </w:t>
      </w:r>
      <w:r w:rsidR="004A412C" w:rsidRPr="00F75B96">
        <w:t>need to</w:t>
      </w:r>
      <w:r w:rsidR="00D10058" w:rsidRPr="00F75B96">
        <w:t xml:space="preserve"> </w:t>
      </w:r>
      <w:r w:rsidR="00B225CB">
        <w:t>understand</w:t>
      </w:r>
      <w:r w:rsidR="00FE71DC">
        <w:t xml:space="preserve"> patterns of</w:t>
      </w:r>
      <w:r w:rsidR="00B225CB">
        <w:t xml:space="preserve"> plant community</w:t>
      </w:r>
      <w:r w:rsidR="00D10058" w:rsidRPr="002A5734">
        <w:t xml:space="preserve"> </w:t>
      </w:r>
      <w:r w:rsidR="00ED752B">
        <w:t>compositional</w:t>
      </w:r>
      <w:r w:rsidR="00872EF0" w:rsidRPr="00F75B96">
        <w:t xml:space="preserve"> change</w:t>
      </w:r>
      <w:r w:rsidR="00ED752B">
        <w:t xml:space="preserve">, as it pertains to understanding </w:t>
      </w:r>
      <w:r w:rsidR="00CE1F44">
        <w:t>ecologically appropriate reference states</w:t>
      </w:r>
      <w:r w:rsidR="00F60D2F" w:rsidRPr="002A5734">
        <w:t xml:space="preserve">. </w:t>
      </w:r>
    </w:p>
    <w:p w14:paraId="253FFE63" w14:textId="1A7A5A66" w:rsidR="00A414E5" w:rsidRDefault="008C1ED6" w:rsidP="0066777E">
      <w:pPr>
        <w:pStyle w:val="ListParagraph"/>
        <w:numPr>
          <w:ilvl w:val="1"/>
          <w:numId w:val="4"/>
        </w:numPr>
      </w:pPr>
      <w:r>
        <w:t>Descriptive study</w:t>
      </w:r>
      <w:r w:rsidR="00A414E5">
        <w:t xml:space="preserve"> of</w:t>
      </w:r>
      <w:r w:rsidR="00327D46">
        <w:t xml:space="preserve"> decadal changes in</w:t>
      </w:r>
      <w:r w:rsidR="00A414E5">
        <w:t xml:space="preserve"> </w:t>
      </w:r>
      <w:r w:rsidR="00327D46">
        <w:t xml:space="preserve">patch-scale </w:t>
      </w:r>
      <w:r w:rsidR="00A414E5">
        <w:t xml:space="preserve">plant community compositional stability </w:t>
      </w:r>
      <w:r w:rsidR="00AB0911">
        <w:t>are useful to</w:t>
      </w:r>
      <w:r w:rsidR="00B225CB">
        <w:t xml:space="preserve"> </w:t>
      </w:r>
      <w:r w:rsidR="00AB0911">
        <w:t>indicate</w:t>
      </w:r>
      <w:r w:rsidR="00A414E5">
        <w:t xml:space="preserve"> </w:t>
      </w:r>
      <w:r>
        <w:t xml:space="preserve">persistence of </w:t>
      </w:r>
      <w:r w:rsidR="001E072A">
        <w:t xml:space="preserve">reference-quality habitat. </w:t>
      </w:r>
    </w:p>
    <w:p w14:paraId="258848C2" w14:textId="4404E8AA" w:rsidR="0003545C" w:rsidRDefault="000C2F44">
      <w:pPr>
        <w:pStyle w:val="ListParagraph"/>
        <w:numPr>
          <w:ilvl w:val="0"/>
          <w:numId w:val="4"/>
        </w:numPr>
      </w:pPr>
      <w:r>
        <w:t>C</w:t>
      </w:r>
      <w:r w:rsidR="0003545C">
        <w:t>ommunity stability</w:t>
      </w:r>
      <w:r w:rsidR="00682FC6">
        <w:t xml:space="preserve"> </w:t>
      </w:r>
      <w:r w:rsidR="002355AC">
        <w:t xml:space="preserve">can be characterized by </w:t>
      </w:r>
      <w:r w:rsidR="007C5111">
        <w:t>low variability in species or functional diversity over time</w:t>
      </w:r>
      <w:r w:rsidR="00CA1C8A">
        <w:t xml:space="preserve">. </w:t>
      </w:r>
    </w:p>
    <w:p w14:paraId="706435F2" w14:textId="77777777" w:rsidR="00073000" w:rsidRDefault="00CE1F44" w:rsidP="00E96DED">
      <w:pPr>
        <w:pStyle w:val="ListParagraph"/>
        <w:numPr>
          <w:ilvl w:val="1"/>
          <w:numId w:val="4"/>
        </w:numPr>
      </w:pPr>
      <w:commentRangeStart w:id="0"/>
      <w:commentRangeStart w:id="1"/>
      <w:r>
        <w:t>Stability is</w:t>
      </w:r>
      <w:r w:rsidRPr="00494F7E">
        <w:t xml:space="preserve"> driven by functional redundancies in species composition &amp; diversity; </w:t>
      </w:r>
      <w:r w:rsidR="00255BCB">
        <w:t xml:space="preserve">loss of redundancy, </w:t>
      </w:r>
      <w:r w:rsidRPr="00494F7E">
        <w:t>such as through species homogenization/invasion by non-native species</w:t>
      </w:r>
      <w:r w:rsidR="00255BCB">
        <w:t xml:space="preserve">, </w:t>
      </w:r>
      <w:r w:rsidR="00073000">
        <w:t xml:space="preserve">reduces the reference quality of a community. </w:t>
      </w:r>
      <w:commentRangeEnd w:id="0"/>
      <w:r w:rsidR="00205444">
        <w:rPr>
          <w:rStyle w:val="CommentReference"/>
        </w:rPr>
        <w:commentReference w:id="0"/>
      </w:r>
      <w:commentRangeEnd w:id="1"/>
      <w:r w:rsidR="00F94B85">
        <w:rPr>
          <w:rStyle w:val="CommentReference"/>
        </w:rPr>
        <w:commentReference w:id="1"/>
      </w:r>
    </w:p>
    <w:p w14:paraId="5BD20058" w14:textId="5F9D4747" w:rsidR="00CE1F44" w:rsidRDefault="00073000" w:rsidP="0066777E">
      <w:pPr>
        <w:pStyle w:val="ListParagraph"/>
        <w:numPr>
          <w:ilvl w:val="2"/>
          <w:numId w:val="4"/>
        </w:numPr>
      </w:pPr>
      <w:r>
        <w:t>This is important to land managers using</w:t>
      </w:r>
      <w:commentRangeStart w:id="3"/>
      <w:r>
        <w:t xml:space="preserve"> extant reference </w:t>
      </w:r>
      <w:commentRangeEnd w:id="3"/>
      <w:r w:rsidR="00CE25CD">
        <w:rPr>
          <w:rStyle w:val="CommentReference"/>
        </w:rPr>
        <w:commentReference w:id="3"/>
      </w:r>
      <w:r>
        <w:t xml:space="preserve">sites as benchmarks for conservation/restoration targets. </w:t>
      </w:r>
    </w:p>
    <w:p w14:paraId="27711663" w14:textId="0B5E96F4" w:rsidR="0003545C" w:rsidRDefault="00980731" w:rsidP="00E96DED">
      <w:pPr>
        <w:pStyle w:val="ListParagraph"/>
        <w:numPr>
          <w:ilvl w:val="1"/>
          <w:numId w:val="4"/>
        </w:numPr>
      </w:pPr>
      <w:commentRangeStart w:id="4"/>
      <w:commentRangeStart w:id="5"/>
      <w:r>
        <w:t>In</w:t>
      </w:r>
      <w:r w:rsidR="00852326">
        <w:t xml:space="preserve"> communities with </w:t>
      </w:r>
      <w:r w:rsidR="00704594">
        <w:t>restricted</w:t>
      </w:r>
      <w:r w:rsidR="00852326">
        <w:t xml:space="preserve"> compositional/functional palettes such as estuaries, </w:t>
      </w:r>
      <w:r w:rsidR="00CC3A16">
        <w:t xml:space="preserve">loss of </w:t>
      </w:r>
      <w:r w:rsidR="00CB298C">
        <w:t>species richness</w:t>
      </w:r>
      <w:r w:rsidR="00852326">
        <w:t xml:space="preserve"> may be</w:t>
      </w:r>
      <w:r w:rsidR="00CC3A16">
        <w:t xml:space="preserve"> an early indicator of decreased</w:t>
      </w:r>
      <w:r w:rsidR="00852326">
        <w:t xml:space="preserve"> resilience. </w:t>
      </w:r>
      <w:commentRangeEnd w:id="4"/>
      <w:r w:rsidR="00A25F28">
        <w:rPr>
          <w:rStyle w:val="CommentReference"/>
        </w:rPr>
        <w:commentReference w:id="4"/>
      </w:r>
      <w:commentRangeEnd w:id="5"/>
      <w:r w:rsidR="00C925BB">
        <w:rPr>
          <w:rStyle w:val="CommentReference"/>
        </w:rPr>
        <w:commentReference w:id="5"/>
      </w:r>
    </w:p>
    <w:p w14:paraId="4518A217" w14:textId="0D8014DA" w:rsidR="003124A1" w:rsidRDefault="00352A16" w:rsidP="002A5734">
      <w:pPr>
        <w:pStyle w:val="ListParagraph"/>
        <w:numPr>
          <w:ilvl w:val="2"/>
          <w:numId w:val="4"/>
        </w:numPr>
      </w:pPr>
      <w:r>
        <w:t>L</w:t>
      </w:r>
      <w:r w:rsidR="003124A1">
        <w:t>oss of species richness reveals loss of functional redundancy</w:t>
      </w:r>
      <w:r w:rsidR="002D7F1C">
        <w:t xml:space="preserve">, </w:t>
      </w:r>
      <w:r w:rsidR="002D7F1C" w:rsidRPr="002D7F1C">
        <w:t xml:space="preserve">and may be an indicator of reduced </w:t>
      </w:r>
      <w:r w:rsidR="00704594">
        <w:t>resistance to change or resilient capacity to recover from disturbance</w:t>
      </w:r>
      <w:r w:rsidR="00403637">
        <w:t xml:space="preserve"> </w:t>
      </w:r>
      <w:r w:rsidR="00403637" w:rsidRPr="00CB298C">
        <w:rPr>
          <w:rFonts w:ascii="Calibri" w:hAnsi="Calibri" w:cs="Calibri"/>
        </w:rPr>
        <w:t>(Bai, Han, Wu, Chen, &amp; Li, 2004; Tilman, Reich, &amp; Knops, 2006)</w:t>
      </w:r>
      <w:r>
        <w:t>, t</w:t>
      </w:r>
      <w:r w:rsidRPr="00021ECF">
        <w:t>hus use of the site as an historical reference would be flawed.</w:t>
      </w:r>
    </w:p>
    <w:p w14:paraId="52FFEB7C" w14:textId="100D9ED8" w:rsidR="00C36798" w:rsidRDefault="00403637" w:rsidP="0066777E">
      <w:pPr>
        <w:pStyle w:val="ListParagraph"/>
        <w:numPr>
          <w:ilvl w:val="3"/>
          <w:numId w:val="4"/>
        </w:numPr>
      </w:pPr>
      <w:r>
        <w:t>If needed: examples of disturbance may be g</w:t>
      </w:r>
      <w:r w:rsidR="00945595">
        <w:t xml:space="preserve">radual </w:t>
      </w:r>
      <w:r w:rsidR="00C36798">
        <w:t xml:space="preserve">changes that alter </w:t>
      </w:r>
      <w:commentRangeStart w:id="6"/>
      <w:r w:rsidR="00C36798">
        <w:t>abiotic drivers of stability</w:t>
      </w:r>
      <w:commentRangeEnd w:id="6"/>
      <w:r w:rsidR="002D603D">
        <w:rPr>
          <w:rStyle w:val="CommentReference"/>
        </w:rPr>
        <w:commentReference w:id="6"/>
      </w:r>
      <w:r w:rsidR="00C36798">
        <w:t>, such as changing soil properties or hydrologic regimes</w:t>
      </w:r>
      <w:r w:rsidR="00AB0911">
        <w:t>.</w:t>
      </w:r>
    </w:p>
    <w:p w14:paraId="19235624" w14:textId="2A69ACB7" w:rsidR="00A21CBF" w:rsidRDefault="009113BE" w:rsidP="009575C7">
      <w:pPr>
        <w:pStyle w:val="ListParagraph"/>
        <w:numPr>
          <w:ilvl w:val="0"/>
          <w:numId w:val="4"/>
        </w:numPr>
      </w:pPr>
      <w:r>
        <w:t>Estuaries</w:t>
      </w:r>
      <w:r w:rsidR="00566C69">
        <w:t xml:space="preserve"> </w:t>
      </w:r>
      <w:r w:rsidR="005F3F8D">
        <w:t xml:space="preserve">are </w:t>
      </w:r>
      <w:r w:rsidR="00182C65">
        <w:t xml:space="preserve">at the terrestrial-marine interface where </w:t>
      </w:r>
      <w:r w:rsidR="005F3F8D">
        <w:t xml:space="preserve">cumulative </w:t>
      </w:r>
      <w:r w:rsidR="00A21CBF">
        <w:t xml:space="preserve">environmental and anthropogenic </w:t>
      </w:r>
      <w:r w:rsidR="005F3F8D">
        <w:t>stressors</w:t>
      </w:r>
      <w:r w:rsidR="00E600E4">
        <w:t xml:space="preserve"> have </w:t>
      </w:r>
      <w:r w:rsidR="006A2027">
        <w:t>s</w:t>
      </w:r>
      <w:r w:rsidR="00E600E4">
        <w:t>hift</w:t>
      </w:r>
      <w:r w:rsidR="006A2027">
        <w:t>ed</w:t>
      </w:r>
      <w:r w:rsidR="00E600E4">
        <w:t xml:space="preserve"> due to landscape-scale changes</w:t>
      </w:r>
      <w:r w:rsidR="006A2027">
        <w:t xml:space="preserve">, and </w:t>
      </w:r>
      <w:r w:rsidR="00C86781">
        <w:t>ecosystems will experience accelerated change under sea level rise</w:t>
      </w:r>
      <w:r w:rsidR="00E600E4">
        <w:t>.</w:t>
      </w:r>
      <w:r w:rsidR="00E43ECE">
        <w:t xml:space="preserve"> </w:t>
      </w:r>
      <w:r w:rsidR="007F224A">
        <w:t xml:space="preserve">These habitats are of increasing </w:t>
      </w:r>
      <w:r w:rsidR="001369F0">
        <w:t xml:space="preserve">concern for ecosystem service value, and understanding how to maintain or facilitate creation of estuarine habitat is a major objective of </w:t>
      </w:r>
      <w:r w:rsidR="009565D0">
        <w:t xml:space="preserve">climate change resilience strategies. </w:t>
      </w:r>
    </w:p>
    <w:p w14:paraId="74BBB929" w14:textId="5AA2D4A7" w:rsidR="00E77D51" w:rsidRDefault="00E77D51" w:rsidP="0066777E">
      <w:pPr>
        <w:pStyle w:val="ListParagraph"/>
        <w:numPr>
          <w:ilvl w:val="1"/>
          <w:numId w:val="4"/>
        </w:numPr>
      </w:pPr>
      <w:r>
        <w:t xml:space="preserve">In North America, estuaries are of greater conservation importance in the PNW (limited space due to fjord geography, contrast to expansive alluvial plains of eastern North America). </w:t>
      </w:r>
    </w:p>
    <w:p w14:paraId="6478FF05" w14:textId="4D010D86" w:rsidR="00B67ABA" w:rsidRDefault="00FC1E8E" w:rsidP="005F3F8D">
      <w:pPr>
        <w:pStyle w:val="ListParagraph"/>
        <w:numPr>
          <w:ilvl w:val="1"/>
          <w:numId w:val="4"/>
        </w:numPr>
      </w:pPr>
      <w:r>
        <w:t>T</w:t>
      </w:r>
      <w:r w:rsidR="009113BE">
        <w:t xml:space="preserve">idal freshwater marshes (TFMs) are </w:t>
      </w:r>
      <w:r w:rsidR="00B67ABA">
        <w:t xml:space="preserve">the upper reaches of estuaries where freshwater dominates, but 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r w:rsidR="00B67ABA">
        <w:t>.</w:t>
      </w:r>
    </w:p>
    <w:p w14:paraId="62D3C7C4" w14:textId="77A3E520" w:rsidR="001F699E" w:rsidRDefault="000E643E" w:rsidP="00982B42">
      <w:pPr>
        <w:pStyle w:val="ListParagraph"/>
        <w:numPr>
          <w:ilvl w:val="2"/>
          <w:numId w:val="4"/>
        </w:numPr>
      </w:pPr>
      <w:commentRangeStart w:id="7"/>
      <w:r>
        <w:t xml:space="preserve">Land </w:t>
      </w:r>
      <w:commentRangeEnd w:id="7"/>
      <w:r w:rsidR="009565D0">
        <w:rPr>
          <w:rStyle w:val="CommentReference"/>
        </w:rPr>
        <w:commentReference w:id="7"/>
      </w:r>
      <w:r>
        <w:t>use conversion due to a</w:t>
      </w:r>
      <w:r w:rsidR="001F699E">
        <w:t>nthropogenic value led to</w:t>
      </w:r>
      <w:r>
        <w:t xml:space="preserve"> agricultural,</w:t>
      </w:r>
      <w:r w:rsidR="001F699E">
        <w:t xml:space="preserve"> municipal</w:t>
      </w:r>
      <w:r>
        <w:t>,</w:t>
      </w:r>
      <w:r w:rsidR="001F699E">
        <w:t xml:space="preserve"> and industrial/commercial development, which has led to altered abiotic processes</w:t>
      </w:r>
      <w:r>
        <w:t>: d</w:t>
      </w:r>
      <w:r w:rsidR="001F699E">
        <w:t xml:space="preserve">ecreased sedimentation rates due to increased impervious cover, or removal of sediment from the system by channel dredging. These actions reduce available </w:t>
      </w:r>
      <w:r>
        <w:t>sediments</w:t>
      </w:r>
      <w:r w:rsidR="001F699E">
        <w:t xml:space="preserve"> which estuaries depend upon to continually build up marsh vegetation platforms. </w:t>
      </w:r>
    </w:p>
    <w:p w14:paraId="0D84AC7E" w14:textId="1506CE51" w:rsidR="002F3C7E" w:rsidRDefault="00E71AA9" w:rsidP="00982B42">
      <w:pPr>
        <w:pStyle w:val="ListParagraph"/>
        <w:numPr>
          <w:ilvl w:val="1"/>
          <w:numId w:val="4"/>
        </w:numPr>
      </w:pPr>
      <w:r>
        <w:t>These reaches are of high conservation and restoration interest, therefore understanding habitat permanence is useful to conservation objectives in anticipation of</w:t>
      </w:r>
      <w:r w:rsidR="00D525E1">
        <w:t xml:space="preserve"> sea level rise. </w:t>
      </w:r>
      <w:r w:rsidR="002F3C7E">
        <w:t xml:space="preserve"> </w:t>
      </w:r>
    </w:p>
    <w:p w14:paraId="48224580" w14:textId="5497E04A" w:rsidR="009C4C63" w:rsidRDefault="00E71AA9" w:rsidP="00E73137">
      <w:pPr>
        <w:pStyle w:val="ListParagraph"/>
        <w:numPr>
          <w:ilvl w:val="1"/>
          <w:numId w:val="4"/>
        </w:numPr>
      </w:pPr>
      <w:commentRangeStart w:id="8"/>
      <w:r>
        <w:t>Define</w:t>
      </w:r>
      <w:r w:rsidR="00357A5D">
        <w:t xml:space="preserve"> biodiverse but</w:t>
      </w:r>
      <w:r>
        <w:t xml:space="preserve"> </w:t>
      </w:r>
      <w:commentRangeEnd w:id="8"/>
      <w:r w:rsidR="00E30ACE">
        <w:rPr>
          <w:rStyle w:val="CommentReference"/>
        </w:rPr>
        <w:commentReference w:id="8"/>
      </w:r>
      <w:r>
        <w:t>restricted habitat types</w:t>
      </w:r>
      <w:r w:rsidR="00E30ACE">
        <w:t xml:space="preserve"> within TFM with respect to </w:t>
      </w:r>
      <w:r>
        <w:t>g</w:t>
      </w:r>
      <w:r w:rsidR="004C7DF9" w:rsidRPr="00F812CC">
        <w:t xml:space="preserve">eneral herbaceous structure, dominated by sedges/rushes with some salinity tolerance, but </w:t>
      </w:r>
      <w:r w:rsidR="00504E47" w:rsidRPr="00F812CC">
        <w:t xml:space="preserve">with greater forb diversity unique to </w:t>
      </w:r>
      <w:r w:rsidR="004C7DF9" w:rsidRPr="00F812CC">
        <w:t>TFMs</w:t>
      </w:r>
      <w:r w:rsidR="00504E47" w:rsidRPr="00F812CC">
        <w:t xml:space="preserve"> that don’t occur in </w:t>
      </w:r>
      <w:r w:rsidR="00A1470E">
        <w:t xml:space="preserve">higher salinity or </w:t>
      </w:r>
      <w:r w:rsidR="00504E47" w:rsidRPr="00F812CC">
        <w:t>non-tidal wetlands</w:t>
      </w:r>
      <w:r w:rsidR="000431F1" w:rsidRPr="00F812CC">
        <w:t xml:space="preserve">; </w:t>
      </w:r>
    </w:p>
    <w:p w14:paraId="2F00D972" w14:textId="6184609B" w:rsidR="004C7DF9" w:rsidRPr="00F812CC" w:rsidRDefault="009C4C63" w:rsidP="0066777E">
      <w:pPr>
        <w:pStyle w:val="ListParagraph"/>
        <w:numPr>
          <w:ilvl w:val="2"/>
          <w:numId w:val="4"/>
        </w:numPr>
      </w:pPr>
      <w:r>
        <w:t xml:space="preserve">Emphasize biodiversity and </w:t>
      </w:r>
      <w:r w:rsidR="00504E47" w:rsidRPr="00F812CC">
        <w:t>habitat value, and concern for species gained/lost</w:t>
      </w:r>
      <w:r w:rsidR="000431F1" w:rsidRPr="00F812CC">
        <w:t>.</w:t>
      </w:r>
      <w:r w:rsidR="003436E0" w:rsidRPr="00F812CC">
        <w:t xml:space="preserve"> </w:t>
      </w:r>
    </w:p>
    <w:p w14:paraId="795F5AED" w14:textId="3FA733F3" w:rsidR="00F812CC" w:rsidRDefault="00D529B9" w:rsidP="006C5D18">
      <w:pPr>
        <w:pStyle w:val="ListParagraph"/>
        <w:numPr>
          <w:ilvl w:val="0"/>
          <w:numId w:val="4"/>
        </w:numPr>
      </w:pPr>
      <w:r>
        <w:t xml:space="preserve">A major challenge of </w:t>
      </w:r>
      <w:r w:rsidR="00A1470E">
        <w:t xml:space="preserve">understanding </w:t>
      </w:r>
      <w:r>
        <w:t xml:space="preserve">community stability is the lack of long-term </w:t>
      </w:r>
      <w:r w:rsidR="001578C8">
        <w:t xml:space="preserve">monitoring. </w:t>
      </w:r>
      <w:r w:rsidR="00E00A7F">
        <w:t xml:space="preserve">In absence of </w:t>
      </w:r>
      <w:r w:rsidR="00907858">
        <w:t>long-term</w:t>
      </w:r>
      <w:r w:rsidR="00744FD6">
        <w:t xml:space="preserve"> monitoring</w:t>
      </w:r>
      <w:r w:rsidR="00E00A7F">
        <w:t>, using</w:t>
      </w:r>
      <w:r w:rsidR="00907858">
        <w:t xml:space="preserve"> </w:t>
      </w:r>
      <w:r w:rsidR="004C7DF9">
        <w:t xml:space="preserve">historical datasets can provide a </w:t>
      </w:r>
      <w:r w:rsidR="00AA7D9E">
        <w:t>‘</w:t>
      </w:r>
      <w:r w:rsidR="004C7DF9">
        <w:t>snapshot</w:t>
      </w:r>
      <w:r w:rsidR="00AA7D9E">
        <w:t>’</w:t>
      </w:r>
      <w:r w:rsidR="004C7DF9">
        <w:t xml:space="preserve"> of changes across time. </w:t>
      </w:r>
    </w:p>
    <w:p w14:paraId="03897D37" w14:textId="127CF9AF" w:rsidR="00F812CC" w:rsidRDefault="00F812CC" w:rsidP="00F812CC">
      <w:pPr>
        <w:pStyle w:val="ListParagraph"/>
        <w:numPr>
          <w:ilvl w:val="1"/>
          <w:numId w:val="4"/>
        </w:numPr>
      </w:pPr>
      <w:r>
        <w:lastRenderedPageBreak/>
        <w:t>One such opportunity exists in Ladner Marsh</w:t>
      </w:r>
      <w:r w:rsidR="00E75976">
        <w:t>, which escaped development through designation as protected habitat (</w:t>
      </w:r>
      <w:r w:rsidR="00DB370D">
        <w:t>Figure 1</w:t>
      </w:r>
      <w:r w:rsidR="00E75976">
        <w:t xml:space="preserve">). </w:t>
      </w:r>
    </w:p>
    <w:p w14:paraId="5F836C77" w14:textId="51172542" w:rsidR="00B14056" w:rsidRDefault="00AF166C" w:rsidP="00B14056">
      <w:pPr>
        <w:pStyle w:val="ListParagraph"/>
        <w:numPr>
          <w:ilvl w:val="2"/>
          <w:numId w:val="4"/>
        </w:numPr>
      </w:pPr>
      <w:r>
        <w:t xml:space="preserve">Portions of </w:t>
      </w:r>
      <w:r w:rsidR="00B14056">
        <w:t xml:space="preserve">the South Arm Marshes WMA complex </w:t>
      </w:r>
      <w:r>
        <w:t xml:space="preserve">are used as reference sites for ongoing restoration projects in the Fraser River Estuary. </w:t>
      </w:r>
    </w:p>
    <w:p w14:paraId="7FFD3C39" w14:textId="799925AE" w:rsidR="00AF166C" w:rsidRDefault="00AF166C" w:rsidP="0066777E">
      <w:pPr>
        <w:pStyle w:val="ListParagraph"/>
        <w:numPr>
          <w:ilvl w:val="2"/>
          <w:numId w:val="4"/>
        </w:numPr>
      </w:pPr>
      <w:r>
        <w:t xml:space="preserve">Understanding how reference conditions have changed </w:t>
      </w:r>
      <w:r w:rsidR="00C5636B">
        <w:t xml:space="preserve">prior to and </w:t>
      </w:r>
      <w:r>
        <w:t xml:space="preserve">since the </w:t>
      </w:r>
      <w:r w:rsidR="00C5636B">
        <w:t xml:space="preserve">1991 </w:t>
      </w:r>
      <w:r>
        <w:t xml:space="preserve">establishment of the WMA are important for regional land managers in evaluating restoration success. </w:t>
      </w:r>
    </w:p>
    <w:p w14:paraId="24ED5A83" w14:textId="3F60C04F" w:rsidR="00FF5CB3" w:rsidRDefault="0074167B" w:rsidP="00F812CC">
      <w:pPr>
        <w:pStyle w:val="ListParagraph"/>
        <w:numPr>
          <w:ilvl w:val="1"/>
          <w:numId w:val="4"/>
        </w:numPr>
      </w:pPr>
      <w:r>
        <w:t>Two</w:t>
      </w:r>
      <w:r w:rsidR="00645972">
        <w:t xml:space="preserve"> historical</w:t>
      </w:r>
      <w:r>
        <w:t xml:space="preserve"> studies conducted in Ladner Marsh</w:t>
      </w:r>
      <w:r w:rsidR="00FE2BE8">
        <w:t xml:space="preserve"> </w:t>
      </w:r>
      <w:r w:rsidR="00FE2BE8" w:rsidRPr="00681EF9">
        <w:rPr>
          <w:rFonts w:ascii="Calibri" w:hAnsi="Calibri" w:cs="Calibri"/>
        </w:rPr>
        <w:t xml:space="preserve">(Bradfield &amp; Porter, 1982; </w:t>
      </w:r>
      <w:proofErr w:type="spellStart"/>
      <w:r w:rsidR="00FE2BE8" w:rsidRPr="00681EF9">
        <w:rPr>
          <w:rFonts w:ascii="Calibri" w:hAnsi="Calibri" w:cs="Calibri"/>
        </w:rPr>
        <w:t>Denoth</w:t>
      </w:r>
      <w:proofErr w:type="spellEnd"/>
      <w:r w:rsidR="00FE2BE8" w:rsidRPr="00681EF9">
        <w:rPr>
          <w:rFonts w:ascii="Calibri" w:hAnsi="Calibri" w:cs="Calibri"/>
        </w:rPr>
        <w:t xml:space="preserve"> &amp; Myers, 2007)</w:t>
      </w:r>
      <w:r>
        <w:t xml:space="preserve"> </w:t>
      </w:r>
      <w:r w:rsidR="00FE2BE8">
        <w:t>used similar methods to document</w:t>
      </w:r>
      <w:r>
        <w:t xml:space="preserve"> floristic diversity</w:t>
      </w:r>
      <w:r w:rsidR="00FF5CB3">
        <w:t>.</w:t>
      </w:r>
    </w:p>
    <w:p w14:paraId="2973D0E9" w14:textId="0C80C234" w:rsidR="00C938EC" w:rsidRDefault="00FF5CB3" w:rsidP="00FF5CB3">
      <w:pPr>
        <w:pStyle w:val="ListParagraph"/>
        <w:numPr>
          <w:ilvl w:val="2"/>
          <w:numId w:val="4"/>
        </w:numPr>
      </w:pPr>
      <w:r>
        <w:t xml:space="preserve">Bradfield &amp; Porter identified distinct community sub-types (hereafter, “assemblages”), </w:t>
      </w:r>
      <w:r w:rsidR="00C56564">
        <w:t>with niche occupancy driven</w:t>
      </w:r>
      <w:r>
        <w:t xml:space="preserve"> by edaphic factors</w:t>
      </w:r>
      <w:r w:rsidR="00C56564">
        <w:t xml:space="preserve"> such as drainage</w:t>
      </w:r>
      <w:r>
        <w:t xml:space="preserve">. </w:t>
      </w:r>
      <w:r w:rsidR="0074167B">
        <w:t xml:space="preserve"> </w:t>
      </w:r>
      <w:proofErr w:type="spellStart"/>
      <w:r w:rsidR="00C56564">
        <w:t>Denoth</w:t>
      </w:r>
      <w:proofErr w:type="spellEnd"/>
      <w:r w:rsidR="00C56564">
        <w:t xml:space="preserve"> &amp; Myers repeated the sampling to determine whether a non-native species (purple loosestrife) was displacing </w:t>
      </w:r>
      <w:r w:rsidR="00C938EC">
        <w:t xml:space="preserve">a species of concern (Henderson’s </w:t>
      </w:r>
      <w:proofErr w:type="spellStart"/>
      <w:r w:rsidR="00C938EC">
        <w:t>checkermallow</w:t>
      </w:r>
      <w:proofErr w:type="spellEnd"/>
      <w:r w:rsidR="00C938EC">
        <w:t xml:space="preserve">). </w:t>
      </w:r>
    </w:p>
    <w:p w14:paraId="2F12959A" w14:textId="1B8FF471" w:rsidR="00E75976" w:rsidRDefault="00B14056" w:rsidP="0066777E">
      <w:pPr>
        <w:pStyle w:val="ListParagraph"/>
        <w:numPr>
          <w:ilvl w:val="2"/>
          <w:numId w:val="4"/>
        </w:numPr>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stability of ‘reference quality’ habitat</w:t>
      </w:r>
      <w:r w:rsidR="0074167B">
        <w:t>.</w:t>
      </w:r>
    </w:p>
    <w:p w14:paraId="31E49DAF" w14:textId="7CA15B0E" w:rsidR="00151992" w:rsidRDefault="00DC5555" w:rsidP="00A22262">
      <w:pPr>
        <w:pStyle w:val="ListParagraph"/>
        <w:numPr>
          <w:ilvl w:val="0"/>
          <w:numId w:val="4"/>
        </w:numPr>
      </w:pPr>
      <w:commentRangeStart w:id="9"/>
      <w:r>
        <w:t xml:space="preserve">The </w:t>
      </w:r>
      <w:commentRangeEnd w:id="9"/>
      <w:r w:rsidR="00114EB3">
        <w:rPr>
          <w:rStyle w:val="CommentReference"/>
        </w:rPr>
        <w:commentReference w:id="9"/>
      </w:r>
      <w:r>
        <w:t xml:space="preserve">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B62DDA4" w14:textId="77777777" w:rsidR="00A22262" w:rsidRDefault="00A22262" w:rsidP="0066777E"/>
    <w:p w14:paraId="3BD16AFF" w14:textId="77777777" w:rsidR="00151992" w:rsidRDefault="00151992" w:rsidP="0066777E">
      <w:pPr>
        <w:pStyle w:val="ListParagraph"/>
        <w:numPr>
          <w:ilvl w:val="0"/>
          <w:numId w:val="12"/>
        </w:numPr>
      </w:pPr>
      <w:commentRangeStart w:id="10"/>
      <w:r>
        <w:t xml:space="preserve">Are </w:t>
      </w:r>
      <w:commentRangeEnd w:id="10"/>
      <w:r w:rsidR="002D603D">
        <w:rPr>
          <w:rStyle w:val="CommentReference"/>
        </w:rPr>
        <w:commentReference w:id="10"/>
      </w:r>
      <w:r>
        <w:t xml:space="preserve">assemblages are still characterized by the same dominant species? </w:t>
      </w:r>
    </w:p>
    <w:p w14:paraId="6C027A0C" w14:textId="77777777" w:rsidR="00151992" w:rsidRDefault="00151992" w:rsidP="0066777E">
      <w:pPr>
        <w:pStyle w:val="ListParagraph"/>
        <w:numPr>
          <w:ilvl w:val="1"/>
          <w:numId w:val="12"/>
        </w:numPr>
      </w:pPr>
      <w:r>
        <w:t xml:space="preserve">In the absence of significant environmental disturbance, I expect the same species to dominate each assemblage as identified by Bradfield &amp; Porter (1982). </w:t>
      </w:r>
    </w:p>
    <w:p w14:paraId="36110E27" w14:textId="007F1B53" w:rsidR="00151992" w:rsidRDefault="00151992" w:rsidP="0066777E">
      <w:pPr>
        <w:pStyle w:val="ListParagraph"/>
        <w:numPr>
          <w:ilvl w:val="2"/>
          <w:numId w:val="12"/>
        </w:numPr>
      </w:pPr>
      <w:r w:rsidRPr="0066777E">
        <w:rPr>
          <w:b/>
        </w:rPr>
        <w:t>ANALYSIS</w:t>
      </w:r>
      <w:r>
        <w:t>: cluster analysis (</w:t>
      </w:r>
      <w:r w:rsidR="00A300F5">
        <w:t>Figure 1</w:t>
      </w:r>
      <w:r>
        <w:t>) w/ indicator species analysis of each cluster to identify which species are driving the cluster (</w:t>
      </w:r>
      <w:r w:rsidR="00A300F5">
        <w:t>Table 1, or Supplement</w:t>
      </w:r>
      <w:r>
        <w:t xml:space="preserve">). </w:t>
      </w:r>
    </w:p>
    <w:p w14:paraId="4758C84E" w14:textId="77777777" w:rsidR="00151992" w:rsidRDefault="00151992" w:rsidP="0066777E">
      <w:pPr>
        <w:pStyle w:val="ListParagraph"/>
        <w:numPr>
          <w:ilvl w:val="0"/>
          <w:numId w:val="12"/>
        </w:numPr>
      </w:pPr>
      <w:r>
        <w:t>Is diversity stable within and between assemblage types over time?</w:t>
      </w:r>
    </w:p>
    <w:p w14:paraId="340945E2" w14:textId="1458AFD7" w:rsidR="00151992" w:rsidRDefault="00151992" w:rsidP="0066777E">
      <w:pPr>
        <w:pStyle w:val="ListParagraph"/>
        <w:numPr>
          <w:ilvl w:val="1"/>
          <w:numId w:val="12"/>
        </w:numPr>
      </w:pPr>
      <w:r>
        <w:t xml:space="preserve">I expect community-wide diversity to be </w:t>
      </w:r>
      <w:commentRangeStart w:id="11"/>
      <w:r>
        <w:t>more stable</w:t>
      </w:r>
      <w:commentRangeEnd w:id="11"/>
      <w:r>
        <w:rPr>
          <w:rStyle w:val="CommentReference"/>
        </w:rPr>
        <w:commentReference w:id="11"/>
      </w:r>
      <w:r>
        <w:t xml:space="preserve"> than diversity within each assemblage type. </w:t>
      </w:r>
    </w:p>
    <w:p w14:paraId="62CAB801" w14:textId="77777777" w:rsidR="00151992" w:rsidRDefault="00151992" w:rsidP="0066777E">
      <w:pPr>
        <w:pStyle w:val="ListParagraph"/>
        <w:numPr>
          <w:ilvl w:val="2"/>
          <w:numId w:val="12"/>
        </w:numPr>
      </w:pPr>
      <w:r w:rsidRPr="0066777E">
        <w:rPr>
          <w:b/>
        </w:rPr>
        <w:t>ANALYSIS</w:t>
      </w:r>
      <w:r>
        <w:t xml:space="preserve">: </w:t>
      </w:r>
      <w:proofErr w:type="spellStart"/>
      <w:r>
        <w:t>community_stability</w:t>
      </w:r>
      <w:proofErr w:type="spellEnd"/>
      <w:r>
        <w:t xml:space="preserve"> (“</w:t>
      </w:r>
      <w:proofErr w:type="spellStart"/>
      <w:r>
        <w:t>codyn</w:t>
      </w:r>
      <w:proofErr w:type="spellEnd"/>
      <w:r>
        <w:t xml:space="preserve">”) to measure mean richness over time, and variance ratio to determine significance of richness variance (report value in text). </w:t>
      </w:r>
    </w:p>
    <w:p w14:paraId="1601F474" w14:textId="77777777" w:rsidR="00151992" w:rsidRPr="00494F7E" w:rsidRDefault="00151992" w:rsidP="0066777E">
      <w:pPr>
        <w:pStyle w:val="ListParagraph"/>
        <w:numPr>
          <w:ilvl w:val="0"/>
          <w:numId w:val="12"/>
        </w:numPr>
      </w:pPr>
      <w:r>
        <w:t xml:space="preserve">What is the total community species turnover, and which species gained or lost are driving changes within each assemblage’s diversity?  </w:t>
      </w:r>
    </w:p>
    <w:p w14:paraId="640BC3CE" w14:textId="77777777" w:rsidR="00151992" w:rsidRDefault="00151992" w:rsidP="0066777E">
      <w:pPr>
        <w:pStyle w:val="ListParagraph"/>
        <w:numPr>
          <w:ilvl w:val="1"/>
          <w:numId w:val="12"/>
        </w:numPr>
      </w:pPr>
      <w:r>
        <w:t>If assemblages have greater species homogenization within assemblages, I expect this to be driven by significant invasive species abundance.</w:t>
      </w:r>
    </w:p>
    <w:p w14:paraId="3263A27C" w14:textId="5D3FB738" w:rsidR="00151992" w:rsidRDefault="00151992" w:rsidP="0066777E">
      <w:pPr>
        <w:pStyle w:val="ListParagraph"/>
        <w:numPr>
          <w:ilvl w:val="2"/>
          <w:numId w:val="12"/>
        </w:numPr>
      </w:pPr>
      <w:r w:rsidRPr="0066777E">
        <w:rPr>
          <w:b/>
        </w:rPr>
        <w:t>ANALYSIS</w:t>
      </w:r>
      <w:r>
        <w:t>: (1) total turnover of community (report value in text), (2) rank clock plots of species dominance over time within assemblages and rate of community change (</w:t>
      </w:r>
      <w:r w:rsidR="00A300F5">
        <w:t>Figure 2</w:t>
      </w:r>
      <w:r>
        <w:t>)</w:t>
      </w:r>
    </w:p>
    <w:p w14:paraId="6DAE2DB3" w14:textId="77777777" w:rsidR="000766B8" w:rsidRDefault="000766B8">
      <w:pPr>
        <w:rPr>
          <w:rFonts w:asciiTheme="majorHAnsi" w:eastAsiaTheme="majorEastAsia" w:hAnsiTheme="majorHAnsi" w:cstheme="majorBidi"/>
          <w:color w:val="2F5496" w:themeColor="accent1" w:themeShade="BF"/>
          <w:sz w:val="32"/>
          <w:szCs w:val="32"/>
        </w:rPr>
      </w:pPr>
      <w:r>
        <w:br w:type="page"/>
      </w:r>
    </w:p>
    <w:p w14:paraId="3AEE9D35" w14:textId="65D9C02B" w:rsidR="0022363E" w:rsidRDefault="0022363E" w:rsidP="006C5D18">
      <w:pPr>
        <w:pStyle w:val="Heading1"/>
      </w:pPr>
      <w:r>
        <w:lastRenderedPageBreak/>
        <w:t>Methods</w:t>
      </w:r>
    </w:p>
    <w:p w14:paraId="578C93AC" w14:textId="5808E242" w:rsidR="006B4D7D" w:rsidRDefault="006B4D7D" w:rsidP="006B4D7D">
      <w:pPr>
        <w:pStyle w:val="ListParagraph"/>
        <w:numPr>
          <w:ilvl w:val="0"/>
          <w:numId w:val="4"/>
        </w:numPr>
      </w:pPr>
      <w:r>
        <w:t>Site context &amp; plot selection composite figure; show overlay of 2019 transects on line drawing site figure from Bradfield &amp; Porter (1982)? (Figure 1)</w:t>
      </w:r>
    </w:p>
    <w:p w14:paraId="67DCF51C" w14:textId="01B39882" w:rsidR="00FC1CB8" w:rsidRDefault="00FC1CB8" w:rsidP="006B4D7D">
      <w:pPr>
        <w:pStyle w:val="ListParagraph"/>
        <w:numPr>
          <w:ilvl w:val="0"/>
          <w:numId w:val="4"/>
        </w:numPr>
      </w:pPr>
      <w:r>
        <w:t>Field methods</w:t>
      </w:r>
      <w:r w:rsidR="00B5315A">
        <w:t xml:space="preserve"> </w:t>
      </w:r>
    </w:p>
    <w:p w14:paraId="6A02CA92" w14:textId="6012EA05" w:rsidR="00FC1CB8" w:rsidRDefault="00FC1CB8" w:rsidP="00FC1CB8">
      <w:pPr>
        <w:pStyle w:val="ListParagraph"/>
        <w:numPr>
          <w:ilvl w:val="1"/>
          <w:numId w:val="4"/>
        </w:numPr>
      </w:pPr>
      <w:r>
        <w:t xml:space="preserve">Historical data collection &amp; </w:t>
      </w:r>
      <w:r w:rsidR="006A7EBD">
        <w:t>site relocation</w:t>
      </w:r>
      <w:r w:rsidR="00336630">
        <w:t xml:space="preserve"> (with statements of uncertainty)</w:t>
      </w:r>
      <w:r w:rsidR="002F27E1">
        <w:t xml:space="preserve">. </w:t>
      </w:r>
    </w:p>
    <w:p w14:paraId="26D374CB" w14:textId="5B01DB33" w:rsidR="00FC1CB8" w:rsidRDefault="006A7EBD" w:rsidP="00FC1CB8">
      <w:pPr>
        <w:pStyle w:val="ListParagraph"/>
        <w:numPr>
          <w:ilvl w:val="1"/>
          <w:numId w:val="4"/>
        </w:numPr>
      </w:pPr>
      <w:r>
        <w:t>Present data collection methods</w:t>
      </w:r>
      <w:r w:rsidR="002F27E1">
        <w:t>, with estimation of transect accuracy statement.</w:t>
      </w:r>
    </w:p>
    <w:p w14:paraId="7143098B" w14:textId="348740BE" w:rsidR="007D3502" w:rsidRDefault="007D3502" w:rsidP="007D3502">
      <w:pPr>
        <w:pStyle w:val="ListParagraph"/>
        <w:numPr>
          <w:ilvl w:val="2"/>
          <w:numId w:val="4"/>
        </w:numPr>
      </w:pPr>
      <w:r>
        <w:t>Taxonomy</w:t>
      </w:r>
    </w:p>
    <w:p w14:paraId="43CB9855" w14:textId="33AEFCBA" w:rsidR="00D95917" w:rsidRDefault="00D95917" w:rsidP="0066777E">
      <w:pPr>
        <w:pStyle w:val="ListParagraph"/>
        <w:numPr>
          <w:ilvl w:val="0"/>
          <w:numId w:val="4"/>
        </w:numPr>
      </w:pPr>
      <w:r>
        <w:t>Analyses performed</w:t>
      </w:r>
    </w:p>
    <w:p w14:paraId="7F4BA270" w14:textId="77777777" w:rsidR="00B051DD" w:rsidRDefault="00B051DD" w:rsidP="00B051DD">
      <w:pPr>
        <w:keepNext/>
      </w:pPr>
      <w:r>
        <w:rPr>
          <w:noProof/>
        </w:rPr>
        <w:drawing>
          <wp:inline distT="0" distB="0" distL="0" distR="0" wp14:anchorId="69B97DA0" wp14:editId="5A122C00">
            <wp:extent cx="5926347" cy="3406715"/>
            <wp:effectExtent l="19050" t="19050" r="1778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64" cy="3418107"/>
                    </a:xfrm>
                    <a:prstGeom prst="rect">
                      <a:avLst/>
                    </a:prstGeom>
                    <a:noFill/>
                    <a:ln w="19050">
                      <a:solidFill>
                        <a:schemeClr val="tx1"/>
                      </a:solidFill>
                    </a:ln>
                  </pic:spPr>
                </pic:pic>
              </a:graphicData>
            </a:graphic>
          </wp:inline>
        </w:drawing>
      </w:r>
    </w:p>
    <w:p w14:paraId="5A1A75BF" w14:textId="08E5582D" w:rsidR="00B051DD" w:rsidRDefault="00B051DD" w:rsidP="00B051DD">
      <w:pPr>
        <w:pStyle w:val="Caption"/>
      </w:pPr>
      <w:r>
        <w:t xml:space="preserve">Figure </w:t>
      </w:r>
      <w:fldSimple w:instr=" SEQ Figure \* ARABIC ">
        <w:r>
          <w:rPr>
            <w:noProof/>
          </w:rPr>
          <w:t>1</w:t>
        </w:r>
      </w:fldSimple>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1982 publication figure onto Google Earth basemap, and field-testing accessibility</w:t>
      </w:r>
      <w:r>
        <w:rPr>
          <w:noProof/>
        </w:rPr>
        <w:t>, and 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6B4F897E" w14:textId="420D9943" w:rsidR="006C5D18" w:rsidRDefault="006C5D18" w:rsidP="006C5D18">
      <w:pPr>
        <w:pStyle w:val="Heading1"/>
      </w:pPr>
      <w:r>
        <w:lastRenderedPageBreak/>
        <w:t>Results</w:t>
      </w:r>
    </w:p>
    <w:p w14:paraId="3B6ECB75" w14:textId="136CDD9D" w:rsidR="00A34032" w:rsidRDefault="00A34032" w:rsidP="0066777E">
      <w:pPr>
        <w:pStyle w:val="Caption"/>
        <w:keepNext/>
      </w:pPr>
      <w:r>
        <w:t xml:space="preserve">Table </w:t>
      </w:r>
      <w:fldSimple w:instr=" SEQ Table \* ARABIC ">
        <w:r>
          <w:rPr>
            <w:noProof/>
          </w:rPr>
          <w:t>1</w:t>
        </w:r>
      </w:fldSimple>
      <w:r>
        <w:t xml:space="preserve">. </w:t>
      </w:r>
      <w:r w:rsidR="00D9113B">
        <w:t xml:space="preserve">Species indicator analysis identifies the same dominant species in each assemblage type (sedge, fescue, bogbean) as significantly driving clustering of assemblages over time. </w:t>
      </w:r>
    </w:p>
    <w:p w14:paraId="1774FCB2" w14:textId="78BCCE56" w:rsidR="00B61B57" w:rsidRDefault="00A34032" w:rsidP="0066777E">
      <w:r>
        <w:rPr>
          <w:noProof/>
        </w:rPr>
        <mc:AlternateContent>
          <mc:Choice Requires="wps">
            <w:drawing>
              <wp:anchor distT="0" distB="0" distL="114300" distR="114300" simplePos="0" relativeHeight="251663360" behindDoc="0" locked="0" layoutInCell="1" allowOverlap="1" wp14:anchorId="7E44A669" wp14:editId="3FBBF290">
                <wp:simplePos x="0" y="0"/>
                <wp:positionH relativeFrom="column">
                  <wp:posOffset>19050</wp:posOffset>
                </wp:positionH>
                <wp:positionV relativeFrom="paragraph">
                  <wp:posOffset>2418715</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97CB67C" id="Rectangle 7" o:spid="_x0000_s1026" style="position:absolute;margin-left:1.5pt;margin-top:190.45pt;width:47.2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5vD2/u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61312" behindDoc="0" locked="0" layoutInCell="1" allowOverlap="1" wp14:anchorId="67C6EAF5" wp14:editId="035EA353">
                <wp:simplePos x="0" y="0"/>
                <wp:positionH relativeFrom="column">
                  <wp:posOffset>38100</wp:posOffset>
                </wp:positionH>
                <wp:positionV relativeFrom="paragraph">
                  <wp:posOffset>1256665</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41D1DE5" id="Rectangle 6" o:spid="_x0000_s1026" style="position:absolute;margin-left:3pt;margin-top:98.95pt;width:47.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59264" behindDoc="0" locked="0" layoutInCell="1" allowOverlap="1" wp14:anchorId="7258942C" wp14:editId="60970713">
                <wp:simplePos x="0" y="0"/>
                <wp:positionH relativeFrom="column">
                  <wp:posOffset>28575</wp:posOffset>
                </wp:positionH>
                <wp:positionV relativeFrom="paragraph">
                  <wp:posOffset>504190</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7602A16" id="Rectangle 1" o:spid="_x0000_s1026" style="position:absolute;margin-left:2.25pt;margin-top:39.7pt;width:47.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" filled="f" strokecolor="#70ad47 [3209]" strokeweight="3pt"/>
            </w:pict>
          </mc:Fallback>
        </mc:AlternateContent>
      </w:r>
      <w:r w:rsidR="00B61B57" w:rsidRPr="004120DE">
        <w:rPr>
          <w:noProof/>
        </w:rPr>
        <w:drawing>
          <wp:inline distT="0" distB="0" distL="0" distR="0" wp14:anchorId="06446EFA" wp14:editId="7296FCFD">
            <wp:extent cx="6483121" cy="3209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85226" cy="3210967"/>
                    </a:xfrm>
                    <a:prstGeom prst="rect">
                      <a:avLst/>
                    </a:prstGeom>
                    <a:noFill/>
                    <a:ln>
                      <a:noFill/>
                    </a:ln>
                  </pic:spPr>
                </pic:pic>
              </a:graphicData>
            </a:graphic>
          </wp:inline>
        </w:drawing>
      </w:r>
    </w:p>
    <w:p w14:paraId="148443DA" w14:textId="665A45D2" w:rsidR="00C94867" w:rsidRDefault="00C94867">
      <w:pPr>
        <w:rPr>
          <w:i/>
          <w:iCs/>
          <w:color w:val="44546A" w:themeColor="text2"/>
          <w:sz w:val="18"/>
          <w:szCs w:val="18"/>
        </w:rPr>
      </w:pPr>
    </w:p>
    <w:p w14:paraId="731B6B36" w14:textId="77777777" w:rsidR="00F2017D" w:rsidRDefault="00FE1C76" w:rsidP="00F2017D">
      <w:pPr>
        <w:keepNext/>
      </w:pPr>
      <w:r>
        <w:rPr>
          <w:noProof/>
        </w:rPr>
        <w:drawing>
          <wp:inline distT="0" distB="0" distL="0" distR="0" wp14:anchorId="14580129" wp14:editId="1447D3EE">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714750"/>
                    </a:xfrm>
                    <a:prstGeom prst="rect">
                      <a:avLst/>
                    </a:prstGeom>
                  </pic:spPr>
                </pic:pic>
              </a:graphicData>
            </a:graphic>
          </wp:inline>
        </w:drawing>
      </w:r>
    </w:p>
    <w:p w14:paraId="33960BA8" w14:textId="59AB3F7D" w:rsidR="00FE1C76" w:rsidRDefault="00F2017D" w:rsidP="00F2017D">
      <w:pPr>
        <w:pStyle w:val="Caption"/>
      </w:pPr>
      <w:r>
        <w:t xml:space="preserve">Figure </w:t>
      </w:r>
      <w:fldSimple w:instr=" SEQ Figure \* ARABIC ">
        <w:r w:rsidR="00B051DD">
          <w:rPr>
            <w:noProof/>
          </w:rPr>
          <w:t>2</w:t>
        </w:r>
      </w:fldSimple>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r w:rsidR="00A8047C">
        <w:t>(</w:t>
      </w:r>
      <w:r>
        <w:t>Euclidean distance chosen b/c that's what original authors did. I still need to take out plot #s at leaves.</w:t>
      </w:r>
      <w:r w:rsidR="00A8047C">
        <w:t>)</w:t>
      </w:r>
    </w:p>
    <w:p w14:paraId="6B0E54AC" w14:textId="1FD32B98" w:rsidR="00D81CB7" w:rsidRDefault="00D81CB7" w:rsidP="00D81CB7"/>
    <w:p w14:paraId="36087870" w14:textId="08886B48" w:rsidR="00D81CB7" w:rsidRDefault="00D81CB7" w:rsidP="00D81CB7">
      <w:pPr>
        <w:pStyle w:val="Heading1"/>
      </w:pPr>
      <w:commentRangeStart w:id="12"/>
      <w:r>
        <w:t>Discussion</w:t>
      </w:r>
      <w:commentRangeEnd w:id="12"/>
      <w:r w:rsidR="00CE40F0">
        <w:rPr>
          <w:rStyle w:val="CommentReference"/>
          <w:rFonts w:asciiTheme="minorHAnsi" w:eastAsiaTheme="minorHAnsi" w:hAnsiTheme="minorHAnsi" w:cstheme="minorBidi"/>
          <w:color w:val="auto"/>
        </w:rPr>
        <w:commentReference w:id="12"/>
      </w:r>
    </w:p>
    <w:p w14:paraId="2BDA0631" w14:textId="4AA250AA" w:rsidR="0099288F" w:rsidRDefault="0099288F" w:rsidP="0066777E">
      <w:pPr>
        <w:pStyle w:val="ListParagraph"/>
        <w:numPr>
          <w:ilvl w:val="0"/>
          <w:numId w:val="11"/>
        </w:numPr>
      </w:pPr>
      <w:r>
        <w:t>Answer the questions</w:t>
      </w:r>
    </w:p>
    <w:p w14:paraId="7AC331DB" w14:textId="6FB4ED0B" w:rsidR="00E15E1A" w:rsidRDefault="00E15E1A" w:rsidP="0066777E">
      <w:pPr>
        <w:pStyle w:val="ListParagraph"/>
        <w:numPr>
          <w:ilvl w:val="1"/>
          <w:numId w:val="11"/>
        </w:numPr>
      </w:pPr>
      <w:r>
        <w:t xml:space="preserve">How has stability been affected? </w:t>
      </w:r>
    </w:p>
    <w:p w14:paraId="20C384B4" w14:textId="77777777" w:rsidR="00E93886" w:rsidRDefault="00E15E1A" w:rsidP="00E93886">
      <w:pPr>
        <w:pStyle w:val="ListParagraph"/>
        <w:numPr>
          <w:ilvl w:val="0"/>
          <w:numId w:val="11"/>
        </w:numPr>
      </w:pPr>
      <w:r>
        <w:t xml:space="preserve">What </w:t>
      </w:r>
      <w:r w:rsidR="00E93886">
        <w:t xml:space="preserve">broader </w:t>
      </w:r>
      <w:r>
        <w:t>pattern</w:t>
      </w:r>
      <w:r w:rsidR="00E93886">
        <w:t xml:space="preserve"> of change</w:t>
      </w:r>
      <w:r>
        <w:t xml:space="preserve"> has been </w:t>
      </w:r>
      <w:r w:rsidR="00E93886">
        <w:t>observed, and w</w:t>
      </w:r>
      <w:r>
        <w:t>hat does this mean for reference conditions</w:t>
      </w:r>
      <w:r w:rsidR="00E93886">
        <w:t>?</w:t>
      </w:r>
    </w:p>
    <w:p w14:paraId="4EA5F087" w14:textId="25B6F547" w:rsidR="0099288F" w:rsidRDefault="00E93886" w:rsidP="00E93886">
      <w:pPr>
        <w:pStyle w:val="ListParagraph"/>
        <w:numPr>
          <w:ilvl w:val="1"/>
          <w:numId w:val="11"/>
        </w:numPr>
      </w:pPr>
      <w:r>
        <w:t>Can this suggest species homogenization,</w:t>
      </w:r>
      <w:r w:rsidR="00E15E1A">
        <w:t xml:space="preserve"> especially </w:t>
      </w:r>
      <w:proofErr w:type="spellStart"/>
      <w:r w:rsidR="00E15E1A">
        <w:t>wrt</w:t>
      </w:r>
      <w:proofErr w:type="spellEnd"/>
      <w:r w:rsidR="00E15E1A">
        <w:t xml:space="preserve"> invasive species</w:t>
      </w:r>
      <w:r>
        <w:t>?</w:t>
      </w:r>
    </w:p>
    <w:p w14:paraId="65DA8B87" w14:textId="0C22F3E3" w:rsidR="00C73D34" w:rsidRDefault="00C73D34" w:rsidP="00C73D34">
      <w:pPr>
        <w:pStyle w:val="ListParagraph"/>
        <w:numPr>
          <w:ilvl w:val="1"/>
          <w:numId w:val="11"/>
        </w:numPr>
      </w:pPr>
      <w:r>
        <w:t xml:space="preserve">Discuss key native species lost, with particular attention to blue-listed species such as Henderson’s </w:t>
      </w:r>
      <w:proofErr w:type="spellStart"/>
      <w:r>
        <w:t>checkermallow</w:t>
      </w:r>
      <w:proofErr w:type="spellEnd"/>
      <w:r>
        <w:t xml:space="preserve"> (</w:t>
      </w:r>
      <w:r w:rsidRPr="00FF4F6C">
        <w:rPr>
          <w:i/>
        </w:rPr>
        <w:t>Sidalcea hendersonii</w:t>
      </w:r>
      <w:r>
        <w:t>, globally nearly exclusive to the lower Fraser River Estuary), and pointed rush (</w:t>
      </w:r>
      <w:r w:rsidRPr="00FF4F6C">
        <w:rPr>
          <w:i/>
        </w:rPr>
        <w:t xml:space="preserve">Juncus </w:t>
      </w:r>
      <w:proofErr w:type="spellStart"/>
      <w:r w:rsidRPr="00FF4F6C">
        <w:rPr>
          <w:i/>
        </w:rPr>
        <w:t>oxymeris</w:t>
      </w:r>
      <w:proofErr w:type="spellEnd"/>
      <w:r>
        <w:t>, locally abundant but limited range within Fraser River Estuary)</w:t>
      </w:r>
      <w:r w:rsidR="00995248">
        <w:t xml:space="preserve"> </w:t>
      </w:r>
      <w:r w:rsidR="00995248" w:rsidRPr="00995248">
        <w:rPr>
          <w:rFonts w:ascii="Calibri" w:hAnsi="Calibri" w:cs="Calibri"/>
        </w:rPr>
        <w:t>(</w:t>
      </w:r>
      <w:proofErr w:type="spellStart"/>
      <w:r w:rsidR="00995248" w:rsidRPr="00995248">
        <w:rPr>
          <w:rFonts w:ascii="Calibri" w:hAnsi="Calibri" w:cs="Calibri"/>
        </w:rPr>
        <w:t>Lomer</w:t>
      </w:r>
      <w:proofErr w:type="spellEnd"/>
      <w:r w:rsidR="00995248" w:rsidRPr="00995248">
        <w:rPr>
          <w:rFonts w:ascii="Calibri" w:hAnsi="Calibri" w:cs="Calibri"/>
        </w:rPr>
        <w:t>, 2021)</w:t>
      </w:r>
      <w:r>
        <w:t xml:space="preserve">. </w:t>
      </w:r>
    </w:p>
    <w:p w14:paraId="287112D1" w14:textId="5D244807" w:rsidR="00C73D34" w:rsidRDefault="00C73D34" w:rsidP="00C73D34">
      <w:pPr>
        <w:pStyle w:val="ListParagraph"/>
        <w:numPr>
          <w:ilvl w:val="0"/>
          <w:numId w:val="11"/>
        </w:numPr>
      </w:pPr>
      <w:r>
        <w:t xml:space="preserve">Edaphic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 </w:t>
      </w:r>
    </w:p>
    <w:p w14:paraId="5EE23DFE" w14:textId="2EA8212D" w:rsidR="00C73D34" w:rsidRDefault="00C73D34">
      <w:pPr>
        <w:pStyle w:val="ListParagraph"/>
        <w:numPr>
          <w:ilvl w:val="1"/>
          <w:numId w:val="11"/>
        </w:numPr>
      </w:pPr>
      <w:r>
        <w:t>Bring in topics of sediment trapping vs. starvation, marsh subsidence. Can suggest that future studies to measure dendritic channel edge gains/losses through erosion and sedimentation rates may provide mechanistic insight to drivers of microsite edaphic conditions.</w:t>
      </w:r>
    </w:p>
    <w:p w14:paraId="549FAC15" w14:textId="77777777" w:rsidR="00FC7E24" w:rsidRDefault="00FC7E24" w:rsidP="00FC7E24">
      <w:pPr>
        <w:pStyle w:val="ListParagraph"/>
        <w:numPr>
          <w:ilvl w:val="0"/>
          <w:numId w:val="11"/>
        </w:numPr>
      </w:pPr>
      <w:r>
        <w:t xml:space="preserve">Discussion of inference limitations, and strengths of comparisons. </w:t>
      </w:r>
    </w:p>
    <w:p w14:paraId="27572127" w14:textId="65ADA6AB" w:rsidR="00FC7E24" w:rsidRDefault="00FC7E24" w:rsidP="0066777E">
      <w:pPr>
        <w:pStyle w:val="ListParagraph"/>
        <w:numPr>
          <w:ilvl w:val="1"/>
          <w:numId w:val="11"/>
        </w:numPr>
      </w:pPr>
      <w:r>
        <w:t xml:space="preserve">Acknowledge transect relocation and sampling method likely alters results, however still provides a ‘snapshot’ of marsh-wide conditions along a major tidal channel. </w:t>
      </w:r>
    </w:p>
    <w:p w14:paraId="0D82EE54" w14:textId="1D6E30E9" w:rsidR="00C73D34" w:rsidRDefault="00C73D34" w:rsidP="00C73D34">
      <w:pPr>
        <w:pStyle w:val="ListParagraph"/>
        <w:numPr>
          <w:ilvl w:val="0"/>
          <w:numId w:val="11"/>
        </w:numPr>
      </w:pPr>
      <w:r>
        <w:t xml:space="preserve">Conservation and restoration of TFMs is a management priority (e.g., Canada’s Sea Level Rise Adaptation programs &amp; major funding given to BC SRIF/CRF for salmonid habitat). </w:t>
      </w:r>
    </w:p>
    <w:p w14:paraId="72FDD5F1" w14:textId="77777777" w:rsidR="00C73D34" w:rsidRDefault="00C73D34" w:rsidP="00C73D34">
      <w:pPr>
        <w:pStyle w:val="ListParagraph"/>
        <w:numPr>
          <w:ilvl w:val="1"/>
          <w:numId w:val="11"/>
        </w:numPr>
      </w:pPr>
      <w:r>
        <w:t xml:space="preserve">Major objectives of these programs focus on habitat creation, with success targeted on 50-100-year horizons. </w:t>
      </w:r>
    </w:p>
    <w:p w14:paraId="0F057F0E" w14:textId="77777777" w:rsidR="00C73D34" w:rsidRDefault="00C73D34" w:rsidP="00C73D34">
      <w:pPr>
        <w:pStyle w:val="ListParagraph"/>
        <w:numPr>
          <w:ilvl w:val="1"/>
          <w:numId w:val="11"/>
        </w:numPr>
      </w:pPr>
      <w:r>
        <w:t xml:space="preserve">Sites with a longer conservation history, such as the South Arm Marshes WMA are often used as ‘reference’ conditions for evaluating restoration success. </w:t>
      </w:r>
    </w:p>
    <w:p w14:paraId="60E80357" w14:textId="2615478E" w:rsidR="00C73D34" w:rsidRDefault="00C73D34" w:rsidP="00C73D34">
      <w:pPr>
        <w:pStyle w:val="ListParagraph"/>
        <w:numPr>
          <w:ilvl w:val="1"/>
          <w:numId w:val="11"/>
        </w:numPr>
      </w:pPr>
      <w:r>
        <w:t xml:space="preserve">Therefore, it is important to understand what plant community stability looks like in TFMs, and whether remnant TFMs used as reference are persisting over these timescales. </w:t>
      </w:r>
    </w:p>
    <w:p w14:paraId="76EC648E" w14:textId="77777777" w:rsidR="00C73D34" w:rsidRDefault="00C73D34" w:rsidP="0066777E"/>
    <w:p w14:paraId="519CECE6" w14:textId="61A1E75C" w:rsidR="00E15E1A" w:rsidRDefault="00E15E1A" w:rsidP="00E15E1A"/>
    <w:p w14:paraId="1B35AF9B" w14:textId="759E9875" w:rsidR="00E15E1A" w:rsidRDefault="00E15E1A" w:rsidP="00E15E1A"/>
    <w:p w14:paraId="604BC7D3" w14:textId="77777777" w:rsidR="00E15E1A" w:rsidRDefault="00E15E1A" w:rsidP="0066777E"/>
    <w:p w14:paraId="033C2949" w14:textId="0CA28971" w:rsidR="00340BB0" w:rsidRDefault="00340BB0">
      <w:r>
        <w:br w:type="page"/>
      </w:r>
    </w:p>
    <w:p w14:paraId="527F62BB" w14:textId="1144F127" w:rsidR="00D81CB7" w:rsidRDefault="00340BB0" w:rsidP="00340BB0">
      <w:pPr>
        <w:pStyle w:val="Heading1"/>
      </w:pPr>
      <w:r>
        <w:lastRenderedPageBreak/>
        <w:t>Literature Cited</w:t>
      </w:r>
    </w:p>
    <w:p w14:paraId="1C600096" w14:textId="32E3CF24" w:rsidR="00995248" w:rsidRPr="00995248" w:rsidRDefault="00995248" w:rsidP="00995248">
      <w:pPr>
        <w:pStyle w:val="Bibliography"/>
        <w:rPr>
          <w:rFonts w:ascii="Calibri" w:hAnsi="Calibri" w:cs="Calibri"/>
        </w:rPr>
      </w:pPr>
      <w:r w:rsidRPr="00995248">
        <w:rPr>
          <w:rFonts w:ascii="Calibri" w:hAnsi="Calibri" w:cs="Calibri"/>
        </w:rPr>
        <w:t xml:space="preserve">Bai, Y., Han, X., Wu, J., Chen, Z., &amp; Li, L. (2004). Ecosystem stability and compensatory effects in the Inner Mongolia grassland.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431</w:t>
      </w:r>
      <w:r w:rsidRPr="00995248">
        <w:rPr>
          <w:rFonts w:ascii="Calibri" w:hAnsi="Calibri" w:cs="Calibri"/>
        </w:rPr>
        <w:t>, 181–184.</w:t>
      </w:r>
    </w:p>
    <w:p w14:paraId="2A033D7B" w14:textId="77777777" w:rsidR="00995248" w:rsidRPr="00995248" w:rsidRDefault="00995248" w:rsidP="00995248">
      <w:pPr>
        <w:pStyle w:val="Bibliography"/>
        <w:rPr>
          <w:rFonts w:ascii="Calibri" w:hAnsi="Calibri" w:cs="Calibri"/>
        </w:rPr>
      </w:pPr>
      <w:r w:rsidRPr="00995248">
        <w:rPr>
          <w:rFonts w:ascii="Calibri" w:hAnsi="Calibri" w:cs="Calibri"/>
        </w:rPr>
        <w:t xml:space="preserve">Bradfield, G. E., &amp; Porter, G. L. (1982). Vegetation structure and diversity components of a Fraser estuary tidal marsh. </w:t>
      </w:r>
      <w:r w:rsidRPr="00995248">
        <w:rPr>
          <w:rFonts w:ascii="Calibri" w:hAnsi="Calibri" w:cs="Calibri"/>
          <w:i/>
          <w:iCs/>
        </w:rPr>
        <w:t>Canadian Journal of Botany</w:t>
      </w:r>
      <w:r w:rsidRPr="00995248">
        <w:rPr>
          <w:rFonts w:ascii="Calibri" w:hAnsi="Calibri" w:cs="Calibri"/>
        </w:rPr>
        <w:t xml:space="preserve">, </w:t>
      </w:r>
      <w:r w:rsidRPr="00995248">
        <w:rPr>
          <w:rFonts w:ascii="Calibri" w:hAnsi="Calibri" w:cs="Calibri"/>
          <w:i/>
          <w:iCs/>
        </w:rPr>
        <w:t>60</w:t>
      </w:r>
      <w:r w:rsidRPr="00995248">
        <w:rPr>
          <w:rFonts w:ascii="Calibri" w:hAnsi="Calibri" w:cs="Calibri"/>
        </w:rPr>
        <w:t>, 440–451.</w:t>
      </w:r>
    </w:p>
    <w:p w14:paraId="595A59FE" w14:textId="77777777" w:rsidR="00995248" w:rsidRPr="00995248" w:rsidRDefault="00995248" w:rsidP="00995248">
      <w:pPr>
        <w:pStyle w:val="Bibliography"/>
        <w:rPr>
          <w:rFonts w:ascii="Calibri" w:hAnsi="Calibri" w:cs="Calibri"/>
        </w:rPr>
      </w:pPr>
      <w:proofErr w:type="spellStart"/>
      <w:r w:rsidRPr="00995248">
        <w:rPr>
          <w:rFonts w:ascii="Calibri" w:hAnsi="Calibri" w:cs="Calibri"/>
        </w:rPr>
        <w:t>Denoth</w:t>
      </w:r>
      <w:proofErr w:type="spellEnd"/>
      <w:r w:rsidRPr="00995248">
        <w:rPr>
          <w:rFonts w:ascii="Calibri" w:hAnsi="Calibri" w:cs="Calibri"/>
        </w:rPr>
        <w:t xml:space="preserve">, M., &amp; Myers, J. H. (2007). Competition between </w:t>
      </w:r>
      <w:proofErr w:type="spellStart"/>
      <w:r w:rsidRPr="00995248">
        <w:rPr>
          <w:rFonts w:ascii="Calibri" w:hAnsi="Calibri" w:cs="Calibri"/>
        </w:rPr>
        <w:t>Lythrum</w:t>
      </w:r>
      <w:proofErr w:type="spellEnd"/>
      <w:r w:rsidRPr="00995248">
        <w:rPr>
          <w:rFonts w:ascii="Calibri" w:hAnsi="Calibri" w:cs="Calibri"/>
        </w:rPr>
        <w:t xml:space="preserve"> </w:t>
      </w:r>
      <w:proofErr w:type="spellStart"/>
      <w:r w:rsidRPr="00995248">
        <w:rPr>
          <w:rFonts w:ascii="Calibri" w:hAnsi="Calibri" w:cs="Calibri"/>
        </w:rPr>
        <w:t>salicaria</w:t>
      </w:r>
      <w:proofErr w:type="spellEnd"/>
      <w:r w:rsidRPr="00995248">
        <w:rPr>
          <w:rFonts w:ascii="Calibri" w:hAnsi="Calibri" w:cs="Calibri"/>
        </w:rPr>
        <w:t xml:space="preserve"> and a rare species: Combining evidence from experiments and long-term monitoring. </w:t>
      </w:r>
      <w:r w:rsidRPr="00995248">
        <w:rPr>
          <w:rFonts w:ascii="Calibri" w:hAnsi="Calibri" w:cs="Calibri"/>
          <w:i/>
          <w:iCs/>
        </w:rPr>
        <w:t>Plant Ecology</w:t>
      </w:r>
      <w:r w:rsidRPr="00995248">
        <w:rPr>
          <w:rFonts w:ascii="Calibri" w:hAnsi="Calibri" w:cs="Calibri"/>
        </w:rPr>
        <w:t xml:space="preserve">, </w:t>
      </w:r>
      <w:r w:rsidRPr="00995248">
        <w:rPr>
          <w:rFonts w:ascii="Calibri" w:hAnsi="Calibri" w:cs="Calibri"/>
          <w:i/>
          <w:iCs/>
        </w:rPr>
        <w:t>191</w:t>
      </w:r>
      <w:r w:rsidRPr="00995248">
        <w:rPr>
          <w:rFonts w:ascii="Calibri" w:hAnsi="Calibri" w:cs="Calibri"/>
        </w:rPr>
        <w:t>, 153–161.</w:t>
      </w:r>
    </w:p>
    <w:p w14:paraId="7A3B5BF5" w14:textId="653E1E61" w:rsidR="00995248" w:rsidRPr="00995248" w:rsidRDefault="00995248" w:rsidP="00995248">
      <w:pPr>
        <w:pStyle w:val="Bibliography"/>
        <w:rPr>
          <w:rFonts w:ascii="Calibri" w:hAnsi="Calibri" w:cs="Calibri"/>
        </w:rPr>
      </w:pPr>
      <w:proofErr w:type="spellStart"/>
      <w:r w:rsidRPr="00995248">
        <w:rPr>
          <w:rFonts w:ascii="Calibri" w:hAnsi="Calibri" w:cs="Calibri"/>
        </w:rPr>
        <w:t>Lomer</w:t>
      </w:r>
      <w:proofErr w:type="spellEnd"/>
      <w:r w:rsidRPr="00995248">
        <w:rPr>
          <w:rFonts w:ascii="Calibri" w:hAnsi="Calibri" w:cs="Calibri"/>
        </w:rPr>
        <w:t xml:space="preserve">, F. (2021). Rare Plants of the Fraser Valley. In B. </w:t>
      </w:r>
      <w:proofErr w:type="spellStart"/>
      <w:r w:rsidRPr="00995248">
        <w:rPr>
          <w:rFonts w:ascii="Calibri" w:hAnsi="Calibri" w:cs="Calibri"/>
        </w:rPr>
        <w:t>Klinkenberg</w:t>
      </w:r>
      <w:proofErr w:type="spellEnd"/>
      <w:r w:rsidRPr="00995248">
        <w:rPr>
          <w:rFonts w:ascii="Calibri" w:hAnsi="Calibri" w:cs="Calibri"/>
        </w:rPr>
        <w:t xml:space="preserve"> (Ed.), </w:t>
      </w:r>
      <w:r w:rsidRPr="00995248">
        <w:rPr>
          <w:rFonts w:ascii="Calibri" w:hAnsi="Calibri" w:cs="Calibri"/>
          <w:i/>
          <w:iCs/>
        </w:rPr>
        <w:t>E-Flora BC: Electronic Atlas of the Flora of British Columbia [eflora.bc.ca]</w:t>
      </w:r>
      <w:r w:rsidRPr="00995248">
        <w:rPr>
          <w:rFonts w:ascii="Calibri" w:hAnsi="Calibri" w:cs="Calibri"/>
        </w:rPr>
        <w:t>. Vancouver</w:t>
      </w:r>
      <w:r w:rsidR="00496DDE">
        <w:rPr>
          <w:rFonts w:ascii="Calibri" w:hAnsi="Calibri" w:cs="Calibri"/>
        </w:rPr>
        <w:t>, Canada</w:t>
      </w:r>
      <w:r w:rsidRPr="00995248">
        <w:rPr>
          <w:rFonts w:ascii="Calibri" w:hAnsi="Calibri" w:cs="Calibri"/>
        </w:rPr>
        <w:t>: Lab for Advanced Spatial Analysis, Department of Geography</w:t>
      </w:r>
      <w:r w:rsidR="00990A72">
        <w:rPr>
          <w:rFonts w:ascii="Calibri" w:hAnsi="Calibri" w:cs="Calibri"/>
        </w:rPr>
        <w:t xml:space="preserve">, </w:t>
      </w:r>
      <w:r w:rsidR="00990A72" w:rsidRPr="00995248">
        <w:rPr>
          <w:rFonts w:ascii="Calibri" w:hAnsi="Calibri" w:cs="Calibri"/>
        </w:rPr>
        <w:t>University of British Columbia</w:t>
      </w:r>
      <w:r w:rsidRPr="00995248">
        <w:rPr>
          <w:rFonts w:ascii="Calibri" w:hAnsi="Calibri" w:cs="Calibri"/>
        </w:rPr>
        <w:t>.</w:t>
      </w:r>
      <w:r w:rsidR="009B7734">
        <w:rPr>
          <w:rFonts w:ascii="Calibri" w:hAnsi="Calibri" w:cs="Calibri"/>
        </w:rPr>
        <w:t xml:space="preserve"> [Accessed January 16, 2022</w:t>
      </w:r>
      <w:r w:rsidR="006E6E32">
        <w:rPr>
          <w:rFonts w:ascii="Calibri" w:hAnsi="Calibri" w:cs="Calibri"/>
        </w:rPr>
        <w:t>]</w:t>
      </w:r>
    </w:p>
    <w:p w14:paraId="5243BB6A" w14:textId="77777777" w:rsidR="00995248" w:rsidRPr="00995248" w:rsidRDefault="00995248" w:rsidP="00995248">
      <w:pPr>
        <w:pStyle w:val="Bibliography"/>
        <w:rPr>
          <w:rFonts w:ascii="Calibri" w:hAnsi="Calibri" w:cs="Calibri"/>
        </w:rPr>
      </w:pPr>
      <w:r w:rsidRPr="00995248">
        <w:rPr>
          <w:rFonts w:ascii="Calibri" w:hAnsi="Calibri" w:cs="Calibri"/>
        </w:rPr>
        <w:t xml:space="preserve">Tilman, D., Reich, P. B., &amp; Knops, J. M. H. (2006). Biodiversity and ecosystem stability in a decade-long grassland experiment.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441</w:t>
      </w:r>
      <w:r w:rsidRPr="00995248">
        <w:rPr>
          <w:rFonts w:ascii="Calibri" w:hAnsi="Calibri" w:cs="Calibri"/>
        </w:rPr>
        <w:t>, 629–632.</w:t>
      </w:r>
    </w:p>
    <w:p w14:paraId="1CE4119A" w14:textId="31700E5D" w:rsidR="00340BB0" w:rsidRPr="00340BB0" w:rsidRDefault="00340BB0" w:rsidP="00340BB0"/>
    <w:sectPr w:rsidR="00340BB0" w:rsidRPr="00340BB0" w:rsidSect="000766B8">
      <w:headerReference w:type="default" r:id="rId1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 w:date="2022-01-18T15:09:00Z" w:initials="n">
    <w:p w14:paraId="7D642D0E" w14:textId="77777777" w:rsidR="00205444" w:rsidRDefault="00205444">
      <w:pPr>
        <w:pStyle w:val="CommentText"/>
      </w:pPr>
      <w:r>
        <w:rPr>
          <w:rStyle w:val="CommentReference"/>
        </w:rPr>
        <w:annotationRef/>
      </w:r>
      <w:r>
        <w:t>Stability of what?</w:t>
      </w:r>
    </w:p>
    <w:p w14:paraId="450AEFC8" w14:textId="77777777" w:rsidR="00205444" w:rsidRDefault="00205444">
      <w:pPr>
        <w:pStyle w:val="CommentText"/>
      </w:pPr>
    </w:p>
    <w:p w14:paraId="4F01F161" w14:textId="77777777" w:rsidR="00205444" w:rsidRDefault="00205444">
      <w:pPr>
        <w:pStyle w:val="CommentText"/>
      </w:pPr>
      <w:r>
        <w:t>I’m assuming you mean that functional stability is driven by redundancy?</w:t>
      </w:r>
    </w:p>
    <w:p w14:paraId="0640027D" w14:textId="77777777" w:rsidR="00205444" w:rsidRDefault="00205444">
      <w:pPr>
        <w:pStyle w:val="CommentText"/>
      </w:pPr>
    </w:p>
    <w:p w14:paraId="7425E734" w14:textId="6CC90D51" w:rsidR="00205444" w:rsidRDefault="00205444">
      <w:pPr>
        <w:pStyle w:val="CommentText"/>
      </w:pPr>
      <w:r>
        <w:t>I’m not sure wh</w:t>
      </w:r>
      <w:r w:rsidR="00A25F28">
        <w:t>ere</w:t>
      </w:r>
      <w:r>
        <w:t xml:space="preserve"> “reduces the reference quality”</w:t>
      </w:r>
      <w:r w:rsidR="00A25F28">
        <w:t xml:space="preserve"> comes in with these stability concepts. It feels tacked on here</w:t>
      </w:r>
    </w:p>
  </w:comment>
  <w:comment w:id="1" w:author="Stefanie Lane" w:date="2022-01-19T09:40:00Z" w:initials="SLL">
    <w:p w14:paraId="5808B167" w14:textId="117A7C08" w:rsidR="00F94B85" w:rsidRDefault="00F94B85">
      <w:pPr>
        <w:pStyle w:val="CommentText"/>
      </w:pPr>
      <w:r>
        <w:rPr>
          <w:rStyle w:val="CommentReference"/>
        </w:rPr>
        <w:annotationRef/>
      </w:r>
      <w:r w:rsidR="0012104D">
        <w:t xml:space="preserve">Sp composition creates redundancy: </w:t>
      </w:r>
      <w:r w:rsidR="008B4342">
        <w:t xml:space="preserve">Focus on what you’re actually measuring: </w:t>
      </w:r>
      <w:r w:rsidR="004C58D7">
        <w:t xml:space="preserve">looking at native sp richness/composition/diversity, and </w:t>
      </w:r>
      <w:r w:rsidR="0012104D">
        <w:t xml:space="preserve">conservation of native sp drive redundancy and create functional stability. </w:t>
      </w:r>
      <w:r w:rsidR="008B4342">
        <w:t xml:space="preserve">Important </w:t>
      </w:r>
      <w:proofErr w:type="spellStart"/>
      <w:r w:rsidR="008B4342">
        <w:t>bc</w:t>
      </w:r>
      <w:proofErr w:type="spellEnd"/>
      <w:r w:rsidR="008B4342">
        <w:t xml:space="preserve"> drives redundancy &amp; stability</w:t>
      </w:r>
    </w:p>
    <w:p w14:paraId="40542C68" w14:textId="77777777" w:rsidR="00F25D14" w:rsidRDefault="00F25D14">
      <w:pPr>
        <w:pStyle w:val="CommentText"/>
      </w:pPr>
    </w:p>
    <w:p w14:paraId="6839A4A9" w14:textId="36866C9B" w:rsidR="00F25D14" w:rsidRPr="00D859E5" w:rsidRDefault="00F25D14">
      <w:pPr>
        <w:pStyle w:val="CommentText"/>
      </w:pPr>
      <w:r>
        <w:t>RN, looking at: Stability of dominant sp, sp rich/div, (proxies for redundancy), and turnover</w:t>
      </w:r>
      <w:r w:rsidR="00B17914">
        <w:t xml:space="preserve">. </w:t>
      </w:r>
      <w:r w:rsidR="00B17914" w:rsidRPr="007D3305">
        <w:rPr>
          <w:strike/>
        </w:rPr>
        <w:t xml:space="preserve">Can split into </w:t>
      </w:r>
      <w:proofErr w:type="spellStart"/>
      <w:r w:rsidR="00B17914" w:rsidRPr="007D3305">
        <w:rPr>
          <w:strike/>
        </w:rPr>
        <w:t>fn</w:t>
      </w:r>
      <w:proofErr w:type="spellEnd"/>
      <w:r w:rsidR="00B17914" w:rsidRPr="007D3305">
        <w:rPr>
          <w:strike/>
        </w:rPr>
        <w:t xml:space="preserve"> </w:t>
      </w:r>
      <w:proofErr w:type="spellStart"/>
      <w:r w:rsidR="00B17914" w:rsidRPr="007D3305">
        <w:rPr>
          <w:strike/>
        </w:rPr>
        <w:t>gps</w:t>
      </w:r>
      <w:proofErr w:type="spellEnd"/>
      <w:r w:rsidR="00B17914" w:rsidRPr="007D3305">
        <w:rPr>
          <w:strike/>
        </w:rPr>
        <w:t xml:space="preserve">, and see if sp loss is driving </w:t>
      </w:r>
      <w:proofErr w:type="spellStart"/>
      <w:r w:rsidR="00B17914" w:rsidRPr="007D3305">
        <w:rPr>
          <w:strike/>
        </w:rPr>
        <w:t>fn</w:t>
      </w:r>
      <w:proofErr w:type="spellEnd"/>
      <w:r w:rsidR="00B17914" w:rsidRPr="007D3305">
        <w:rPr>
          <w:strike/>
        </w:rPr>
        <w:t xml:space="preserve"> stability. </w:t>
      </w:r>
      <w:r w:rsidR="00D859E5">
        <w:t>Need to emphasize what you’re looking at (native sp richness), and explain resilience as importance (not that I’m measuring resilience)</w:t>
      </w:r>
      <w:bookmarkStart w:id="2" w:name="_GoBack"/>
      <w:bookmarkEnd w:id="2"/>
    </w:p>
  </w:comment>
  <w:comment w:id="3" w:author="Stefanie Lane" w:date="2022-01-19T09:50:00Z" w:initials="SLL">
    <w:p w14:paraId="6144FABC" w14:textId="7C61E6E7" w:rsidR="00CE25CD" w:rsidRDefault="00CE25CD">
      <w:pPr>
        <w:pStyle w:val="CommentText"/>
      </w:pPr>
      <w:r>
        <w:rPr>
          <w:rStyle w:val="CommentReference"/>
        </w:rPr>
        <w:annotationRef/>
      </w:r>
      <w:r>
        <w:t>Move to 4</w:t>
      </w:r>
      <w:r w:rsidRPr="00CE25CD">
        <w:rPr>
          <w:vertAlign w:val="superscript"/>
        </w:rPr>
        <w:t>th</w:t>
      </w:r>
      <w:r>
        <w:t xml:space="preserve"> paragraph: extension of work importance</w:t>
      </w:r>
    </w:p>
  </w:comment>
  <w:comment w:id="4" w:author="n" w:date="2022-01-18T15:15:00Z" w:initials="n">
    <w:p w14:paraId="6DAC1D54" w14:textId="77777777" w:rsidR="00A25F28" w:rsidRDefault="00A25F28">
      <w:pPr>
        <w:pStyle w:val="CommentText"/>
      </w:pPr>
      <w:r>
        <w:rPr>
          <w:rStyle w:val="CommentReference"/>
        </w:rPr>
        <w:annotationRef/>
      </w:r>
      <w:r>
        <w:t>This is a jump from the stability line above, and it’s kind of tied up with your thoughts on functional redundancy</w:t>
      </w:r>
    </w:p>
    <w:p w14:paraId="65BA48D6" w14:textId="77777777" w:rsidR="002D603D" w:rsidRDefault="002D603D">
      <w:pPr>
        <w:pStyle w:val="CommentText"/>
      </w:pPr>
    </w:p>
    <w:p w14:paraId="67ABAAAE" w14:textId="10C98ADD" w:rsidR="002D603D" w:rsidRDefault="002D603D">
      <w:pPr>
        <w:pStyle w:val="CommentText"/>
      </w:pPr>
      <w:r>
        <w:t>Let’s talk about this tomorrow?</w:t>
      </w:r>
    </w:p>
  </w:comment>
  <w:comment w:id="5" w:author="Stefanie Lane" w:date="2022-01-19T09:47:00Z" w:initials="SLL">
    <w:p w14:paraId="27CA9287" w14:textId="7A74C5C6" w:rsidR="00C925BB" w:rsidRDefault="00C925BB">
      <w:pPr>
        <w:pStyle w:val="CommentText"/>
      </w:pPr>
      <w:r>
        <w:rPr>
          <w:rStyle w:val="CommentReference"/>
        </w:rPr>
        <w:annotationRef/>
      </w:r>
      <w:r w:rsidR="00A15AD1">
        <w:t xml:space="preserve">Losing sp is extra important </w:t>
      </w:r>
      <w:proofErr w:type="spellStart"/>
      <w:r w:rsidR="00A15AD1">
        <w:t>bc</w:t>
      </w:r>
      <w:proofErr w:type="spellEnd"/>
      <w:r w:rsidR="00A15AD1">
        <w:t xml:space="preserve"> regional pool is restricted environmental constraints (*NAS wants references</w:t>
      </w:r>
      <w:r w:rsidR="002501CE">
        <w:t>)</w:t>
      </w:r>
    </w:p>
  </w:comment>
  <w:comment w:id="6" w:author="n" w:date="2022-01-18T15:27:00Z" w:initials="n">
    <w:p w14:paraId="4C121CD9" w14:textId="08A8E992" w:rsidR="002D603D" w:rsidRDefault="002D603D">
      <w:pPr>
        <w:pStyle w:val="CommentText"/>
      </w:pPr>
      <w:r>
        <w:rPr>
          <w:rStyle w:val="CommentReference"/>
        </w:rPr>
        <w:annotationRef/>
      </w:r>
      <w:r>
        <w:t>You haven’t measured any of these, and it complicates things</w:t>
      </w:r>
    </w:p>
  </w:comment>
  <w:comment w:id="7" w:author="Stefanie Lane" w:date="2022-01-16T14:44:00Z" w:initials="SLL">
    <w:p w14:paraId="4CFDA9FC" w14:textId="698F6555" w:rsidR="00A34032" w:rsidRDefault="00A34032">
      <w:pPr>
        <w:pStyle w:val="CommentText"/>
      </w:pPr>
      <w:r>
        <w:rPr>
          <w:rStyle w:val="CommentReference"/>
        </w:rPr>
        <w:annotationRef/>
      </w:r>
      <w:r>
        <w:t xml:space="preserve">Bump to Discussion as suggested mechanism for loss of stability? I’m only interested in sedimentation b/c it’s important to the habitat, but I have no measure of change in my data. </w:t>
      </w:r>
    </w:p>
  </w:comment>
  <w:comment w:id="8" w:author="Stefanie Lane" w:date="2022-01-16T13:45:00Z" w:initials="SLL">
    <w:p w14:paraId="216262AF" w14:textId="43190EDF" w:rsidR="00A34032" w:rsidRDefault="00A34032">
      <w:pPr>
        <w:pStyle w:val="CommentText"/>
      </w:pPr>
      <w:r>
        <w:rPr>
          <w:rStyle w:val="CommentReference"/>
        </w:rPr>
        <w:annotationRef/>
      </w:r>
      <w:r>
        <w:t xml:space="preserve">Better suited to methods? </w:t>
      </w:r>
    </w:p>
  </w:comment>
  <w:comment w:id="9" w:author="n" w:date="2021-12-16T08:45:00Z" w:initials="n">
    <w:p w14:paraId="5E08543C" w14:textId="4EC2D542" w:rsidR="00A34032" w:rsidRDefault="00A34032">
      <w:pPr>
        <w:pStyle w:val="CommentText"/>
      </w:pPr>
      <w:r>
        <w:rPr>
          <w:rStyle w:val="CommentReference"/>
        </w:rPr>
        <w:annotationRef/>
      </w:r>
      <w:r>
        <w:t>Yes! I like these and think they are nice and clear!</w:t>
      </w:r>
    </w:p>
  </w:comment>
  <w:comment w:id="10" w:author="n" w:date="2022-01-18T15:30:00Z" w:initials="n">
    <w:p w14:paraId="02A591B2" w14:textId="37F53999" w:rsidR="002D603D" w:rsidRDefault="002D603D">
      <w:pPr>
        <w:pStyle w:val="CommentText"/>
      </w:pPr>
      <w:r>
        <w:rPr>
          <w:rStyle w:val="CommentReference"/>
        </w:rPr>
        <w:annotationRef/>
      </w:r>
      <w:r>
        <w:t>These are much better!</w:t>
      </w:r>
    </w:p>
  </w:comment>
  <w:comment w:id="11" w:author="Stefanie Lane" w:date="2022-01-16T14:17:00Z" w:initials="SLL">
    <w:p w14:paraId="335D310F" w14:textId="3AF50F44" w:rsidR="00A34032" w:rsidRDefault="00A34032" w:rsidP="00151992">
      <w:pPr>
        <w:pStyle w:val="CommentText"/>
      </w:pPr>
      <w:r>
        <w:rPr>
          <w:rStyle w:val="CommentReference"/>
        </w:rPr>
        <w:annotationRef/>
      </w:r>
      <w:r>
        <w:t>How to articulate why? I want to say because of species-area relationships, but I don’t measure area; I only have total number of plots (which is increased area?) Feels silly to say ‘because there are more plots in the whole dataset, I expect there will be more diversity’</w:t>
      </w:r>
    </w:p>
  </w:comment>
  <w:comment w:id="12" w:author="Stefanie Lane" w:date="2022-01-16T14:51:00Z" w:initials="SLL">
    <w:p w14:paraId="72DEC2D0" w14:textId="55A335E1" w:rsidR="00A34032" w:rsidRDefault="00A34032">
      <w:pPr>
        <w:pStyle w:val="CommentText"/>
      </w:pPr>
      <w:r>
        <w:rPr>
          <w:rStyle w:val="CommentReference"/>
        </w:rPr>
        <w:annotationRef/>
      </w:r>
      <w:r>
        <w:t xml:space="preserve">Key points should be reflected </w:t>
      </w:r>
      <w:proofErr w:type="spellStart"/>
      <w:proofErr w:type="gramStart"/>
      <w:r>
        <w:t>Intro:Disc</w:t>
      </w:r>
      <w:proofErr w:type="spellEnd"/>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25E734" w15:done="0"/>
  <w15:commentEx w15:paraId="6839A4A9" w15:paraIdParent="7425E734" w15:done="0"/>
  <w15:commentEx w15:paraId="6144FABC" w15:done="0"/>
  <w15:commentEx w15:paraId="67ABAAAE" w15:done="0"/>
  <w15:commentEx w15:paraId="27CA9287" w15:paraIdParent="67ABAAAE" w15:done="0"/>
  <w15:commentEx w15:paraId="4C121CD9" w15:done="0"/>
  <w15:commentEx w15:paraId="4CFDA9FC" w15:done="0"/>
  <w15:commentEx w15:paraId="216262AF" w15:done="0"/>
  <w15:commentEx w15:paraId="5E08543C" w15:done="1"/>
  <w15:commentEx w15:paraId="02A591B2" w15:done="0"/>
  <w15:commentEx w15:paraId="335D310F" w15:done="0"/>
  <w15:commentEx w15:paraId="72DEC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25E734" w16cid:durableId="259156A3"/>
  <w16cid:commentId w16cid:paraId="6839A4A9" w16cid:durableId="25925AFB"/>
  <w16cid:commentId w16cid:paraId="6144FABC" w16cid:durableId="25925D5E"/>
  <w16cid:commentId w16cid:paraId="67ABAAAE" w16cid:durableId="25915821"/>
  <w16cid:commentId w16cid:paraId="27CA9287" w16cid:durableId="25925CC0"/>
  <w16cid:commentId w16cid:paraId="4C121CD9" w16cid:durableId="25915AF4"/>
  <w16cid:commentId w16cid:paraId="4CFDA9FC" w16cid:durableId="258EADD8"/>
  <w16cid:commentId w16cid:paraId="216262AF" w16cid:durableId="258E9FF1"/>
  <w16cid:commentId w16cid:paraId="5E08543C" w16cid:durableId="25657B44"/>
  <w16cid:commentId w16cid:paraId="02A591B2" w16cid:durableId="25915B7C"/>
  <w16cid:commentId w16cid:paraId="335D310F" w16cid:durableId="258EAE6C"/>
  <w16cid:commentId w16cid:paraId="72DEC2D0" w16cid:durableId="258EAF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260E9B" w:rsidRDefault="00260E9B" w:rsidP="00BF4E75">
      <w:pPr>
        <w:spacing w:after="0" w:line="240" w:lineRule="auto"/>
      </w:pPr>
      <w:r>
        <w:separator/>
      </w:r>
    </w:p>
  </w:endnote>
  <w:endnote w:type="continuationSeparator" w:id="0">
    <w:p w14:paraId="22FEC50C" w14:textId="77777777" w:rsidR="00260E9B" w:rsidRDefault="00260E9B"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260E9B" w:rsidRDefault="00260E9B" w:rsidP="00BF4E75">
      <w:pPr>
        <w:spacing w:after="0" w:line="240" w:lineRule="auto"/>
      </w:pPr>
      <w:r>
        <w:separator/>
      </w:r>
    </w:p>
  </w:footnote>
  <w:footnote w:type="continuationSeparator" w:id="0">
    <w:p w14:paraId="1139299A" w14:textId="77777777" w:rsidR="00260E9B" w:rsidRDefault="00260E9B"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5E42B074" w:rsidR="00A34032" w:rsidRDefault="00A34032">
        <w:pPr>
          <w:pStyle w:val="Header"/>
          <w:jc w:val="right"/>
        </w:pPr>
        <w:r>
          <w:t xml:space="preserve">Lane, Outline: Plant community changes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A34032" w:rsidRDefault="00A34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F16EC2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7"/>
  </w:num>
  <w:num w:numId="5">
    <w:abstractNumId w:val="11"/>
  </w:num>
  <w:num w:numId="6">
    <w:abstractNumId w:val="10"/>
  </w:num>
  <w:num w:numId="7">
    <w:abstractNumId w:val="5"/>
  </w:num>
  <w:num w:numId="8">
    <w:abstractNumId w:val="4"/>
  </w:num>
  <w:num w:numId="9">
    <w:abstractNumId w:val="8"/>
  </w:num>
  <w:num w:numId="10">
    <w:abstractNumId w:val="1"/>
  </w:num>
  <w:num w:numId="11">
    <w:abstractNumId w:val="0"/>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
    <w15:presenceInfo w15:providerId="Windows Live" w15:userId="81f6a45a1744a32d"/>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195D"/>
    <w:rsid w:val="00012A89"/>
    <w:rsid w:val="000169C2"/>
    <w:rsid w:val="00020056"/>
    <w:rsid w:val="00021ECF"/>
    <w:rsid w:val="00030FB9"/>
    <w:rsid w:val="0003545C"/>
    <w:rsid w:val="0003711B"/>
    <w:rsid w:val="000406CD"/>
    <w:rsid w:val="00041623"/>
    <w:rsid w:val="000431F1"/>
    <w:rsid w:val="00056084"/>
    <w:rsid w:val="00063E63"/>
    <w:rsid w:val="0006502E"/>
    <w:rsid w:val="000678E1"/>
    <w:rsid w:val="00073000"/>
    <w:rsid w:val="000766B8"/>
    <w:rsid w:val="000834F5"/>
    <w:rsid w:val="000900E9"/>
    <w:rsid w:val="000A3AB7"/>
    <w:rsid w:val="000B2B17"/>
    <w:rsid w:val="000B556F"/>
    <w:rsid w:val="000C2F44"/>
    <w:rsid w:val="000C4B24"/>
    <w:rsid w:val="000D3031"/>
    <w:rsid w:val="000E643E"/>
    <w:rsid w:val="000F4196"/>
    <w:rsid w:val="00100565"/>
    <w:rsid w:val="00114EB3"/>
    <w:rsid w:val="0012104D"/>
    <w:rsid w:val="00122537"/>
    <w:rsid w:val="00130DE3"/>
    <w:rsid w:val="001369F0"/>
    <w:rsid w:val="00142404"/>
    <w:rsid w:val="00151992"/>
    <w:rsid w:val="0015552F"/>
    <w:rsid w:val="0015725C"/>
    <w:rsid w:val="001578C8"/>
    <w:rsid w:val="00160B87"/>
    <w:rsid w:val="00170E03"/>
    <w:rsid w:val="00177F29"/>
    <w:rsid w:val="00182C65"/>
    <w:rsid w:val="00182D7E"/>
    <w:rsid w:val="0018553F"/>
    <w:rsid w:val="00195D4F"/>
    <w:rsid w:val="001A3616"/>
    <w:rsid w:val="001B1861"/>
    <w:rsid w:val="001C04D5"/>
    <w:rsid w:val="001C64DC"/>
    <w:rsid w:val="001E072A"/>
    <w:rsid w:val="001E3C6F"/>
    <w:rsid w:val="001E5D06"/>
    <w:rsid w:val="001E759C"/>
    <w:rsid w:val="001F5545"/>
    <w:rsid w:val="001F699E"/>
    <w:rsid w:val="00205444"/>
    <w:rsid w:val="002117EF"/>
    <w:rsid w:val="00215C48"/>
    <w:rsid w:val="0022363E"/>
    <w:rsid w:val="00231775"/>
    <w:rsid w:val="002355AC"/>
    <w:rsid w:val="002501CE"/>
    <w:rsid w:val="002505BD"/>
    <w:rsid w:val="00250AFD"/>
    <w:rsid w:val="00255BCB"/>
    <w:rsid w:val="00260E9B"/>
    <w:rsid w:val="0026405A"/>
    <w:rsid w:val="00281B1F"/>
    <w:rsid w:val="002979C4"/>
    <w:rsid w:val="002A5734"/>
    <w:rsid w:val="002C55D8"/>
    <w:rsid w:val="002D0C63"/>
    <w:rsid w:val="002D6004"/>
    <w:rsid w:val="002D603D"/>
    <w:rsid w:val="002D7F1C"/>
    <w:rsid w:val="002E1C7E"/>
    <w:rsid w:val="002E39F4"/>
    <w:rsid w:val="002E43B4"/>
    <w:rsid w:val="002E58E8"/>
    <w:rsid w:val="002F27E1"/>
    <w:rsid w:val="002F3C7E"/>
    <w:rsid w:val="002F7CB6"/>
    <w:rsid w:val="003124A1"/>
    <w:rsid w:val="0031439A"/>
    <w:rsid w:val="00315C34"/>
    <w:rsid w:val="00316E6C"/>
    <w:rsid w:val="0032580F"/>
    <w:rsid w:val="00327D46"/>
    <w:rsid w:val="00336630"/>
    <w:rsid w:val="00340BB0"/>
    <w:rsid w:val="00342ABF"/>
    <w:rsid w:val="003436E0"/>
    <w:rsid w:val="00345DE4"/>
    <w:rsid w:val="00352A16"/>
    <w:rsid w:val="00353F7C"/>
    <w:rsid w:val="003554A2"/>
    <w:rsid w:val="00356FC2"/>
    <w:rsid w:val="00357A5D"/>
    <w:rsid w:val="00361ED3"/>
    <w:rsid w:val="00365200"/>
    <w:rsid w:val="00375FF5"/>
    <w:rsid w:val="00380BA0"/>
    <w:rsid w:val="00380D8E"/>
    <w:rsid w:val="00390DB5"/>
    <w:rsid w:val="00392DC9"/>
    <w:rsid w:val="003C77E5"/>
    <w:rsid w:val="003D0B07"/>
    <w:rsid w:val="003E5380"/>
    <w:rsid w:val="003F0CC5"/>
    <w:rsid w:val="003F3F7D"/>
    <w:rsid w:val="00403637"/>
    <w:rsid w:val="0040424A"/>
    <w:rsid w:val="00405FBE"/>
    <w:rsid w:val="00415113"/>
    <w:rsid w:val="00447764"/>
    <w:rsid w:val="00453ACC"/>
    <w:rsid w:val="00496DDE"/>
    <w:rsid w:val="004A412C"/>
    <w:rsid w:val="004C3383"/>
    <w:rsid w:val="004C3D45"/>
    <w:rsid w:val="004C58D7"/>
    <w:rsid w:val="004C7DF9"/>
    <w:rsid w:val="004D7707"/>
    <w:rsid w:val="004E2523"/>
    <w:rsid w:val="00502AA6"/>
    <w:rsid w:val="00504E47"/>
    <w:rsid w:val="005211A7"/>
    <w:rsid w:val="00546478"/>
    <w:rsid w:val="00547C63"/>
    <w:rsid w:val="0055787A"/>
    <w:rsid w:val="00562266"/>
    <w:rsid w:val="005622C3"/>
    <w:rsid w:val="00566C69"/>
    <w:rsid w:val="0058398E"/>
    <w:rsid w:val="0059170F"/>
    <w:rsid w:val="00592B7A"/>
    <w:rsid w:val="005B182C"/>
    <w:rsid w:val="005B2A34"/>
    <w:rsid w:val="005B3DD8"/>
    <w:rsid w:val="005B3EAB"/>
    <w:rsid w:val="005B6F7B"/>
    <w:rsid w:val="005B73D6"/>
    <w:rsid w:val="005C0700"/>
    <w:rsid w:val="005D71DC"/>
    <w:rsid w:val="005D7840"/>
    <w:rsid w:val="005E7ED4"/>
    <w:rsid w:val="005F13EF"/>
    <w:rsid w:val="005F30A9"/>
    <w:rsid w:val="005F3F8D"/>
    <w:rsid w:val="00612035"/>
    <w:rsid w:val="00613DBC"/>
    <w:rsid w:val="006144D9"/>
    <w:rsid w:val="00614712"/>
    <w:rsid w:val="00615617"/>
    <w:rsid w:val="006229F7"/>
    <w:rsid w:val="00632BF9"/>
    <w:rsid w:val="00645972"/>
    <w:rsid w:val="00653374"/>
    <w:rsid w:val="006571A8"/>
    <w:rsid w:val="0066777E"/>
    <w:rsid w:val="00670D47"/>
    <w:rsid w:val="00675DE4"/>
    <w:rsid w:val="00682510"/>
    <w:rsid w:val="00682FC6"/>
    <w:rsid w:val="006A2027"/>
    <w:rsid w:val="006A7EBD"/>
    <w:rsid w:val="006B4D7D"/>
    <w:rsid w:val="006C27E6"/>
    <w:rsid w:val="006C5D18"/>
    <w:rsid w:val="006D1F2B"/>
    <w:rsid w:val="006E56E2"/>
    <w:rsid w:val="006E6E32"/>
    <w:rsid w:val="006F4C99"/>
    <w:rsid w:val="00704594"/>
    <w:rsid w:val="00722C6E"/>
    <w:rsid w:val="0074167B"/>
    <w:rsid w:val="00744FD6"/>
    <w:rsid w:val="007503F0"/>
    <w:rsid w:val="00755FA7"/>
    <w:rsid w:val="00764D94"/>
    <w:rsid w:val="00766A9C"/>
    <w:rsid w:val="007910C1"/>
    <w:rsid w:val="00791770"/>
    <w:rsid w:val="007A161D"/>
    <w:rsid w:val="007A295B"/>
    <w:rsid w:val="007A5AD4"/>
    <w:rsid w:val="007B5827"/>
    <w:rsid w:val="007B5EB8"/>
    <w:rsid w:val="007B643A"/>
    <w:rsid w:val="007C2518"/>
    <w:rsid w:val="007C4787"/>
    <w:rsid w:val="007C5111"/>
    <w:rsid w:val="007C65DB"/>
    <w:rsid w:val="007D1510"/>
    <w:rsid w:val="007D2223"/>
    <w:rsid w:val="007D3305"/>
    <w:rsid w:val="007D3502"/>
    <w:rsid w:val="007D3FF6"/>
    <w:rsid w:val="007F224A"/>
    <w:rsid w:val="007F552F"/>
    <w:rsid w:val="007F75D5"/>
    <w:rsid w:val="00804535"/>
    <w:rsid w:val="008112B2"/>
    <w:rsid w:val="00826980"/>
    <w:rsid w:val="008358B4"/>
    <w:rsid w:val="00835A79"/>
    <w:rsid w:val="00841571"/>
    <w:rsid w:val="0084176A"/>
    <w:rsid w:val="00852326"/>
    <w:rsid w:val="0086653A"/>
    <w:rsid w:val="008667DB"/>
    <w:rsid w:val="008712F3"/>
    <w:rsid w:val="00872EF0"/>
    <w:rsid w:val="008871D9"/>
    <w:rsid w:val="008879FB"/>
    <w:rsid w:val="008B1E75"/>
    <w:rsid w:val="008B4342"/>
    <w:rsid w:val="008C1ED6"/>
    <w:rsid w:val="008C76B7"/>
    <w:rsid w:val="008D1487"/>
    <w:rsid w:val="008E0C4C"/>
    <w:rsid w:val="008F15A4"/>
    <w:rsid w:val="008F774C"/>
    <w:rsid w:val="009024D3"/>
    <w:rsid w:val="00907858"/>
    <w:rsid w:val="00910BAB"/>
    <w:rsid w:val="009113BE"/>
    <w:rsid w:val="009262D8"/>
    <w:rsid w:val="009335C2"/>
    <w:rsid w:val="0093412C"/>
    <w:rsid w:val="00945595"/>
    <w:rsid w:val="009565D0"/>
    <w:rsid w:val="009575C7"/>
    <w:rsid w:val="00967664"/>
    <w:rsid w:val="00980731"/>
    <w:rsid w:val="00982B42"/>
    <w:rsid w:val="00983F18"/>
    <w:rsid w:val="00985B10"/>
    <w:rsid w:val="00990A72"/>
    <w:rsid w:val="0099288F"/>
    <w:rsid w:val="00992F14"/>
    <w:rsid w:val="00992FD9"/>
    <w:rsid w:val="00995248"/>
    <w:rsid w:val="009B46F9"/>
    <w:rsid w:val="009B5FFC"/>
    <w:rsid w:val="009B7734"/>
    <w:rsid w:val="009C2620"/>
    <w:rsid w:val="009C4C63"/>
    <w:rsid w:val="009E33B6"/>
    <w:rsid w:val="009E6EF0"/>
    <w:rsid w:val="009F7460"/>
    <w:rsid w:val="00A00E4C"/>
    <w:rsid w:val="00A1470E"/>
    <w:rsid w:val="00A15AD1"/>
    <w:rsid w:val="00A171B6"/>
    <w:rsid w:val="00A21CBF"/>
    <w:rsid w:val="00A22262"/>
    <w:rsid w:val="00A25F28"/>
    <w:rsid w:val="00A300F5"/>
    <w:rsid w:val="00A34032"/>
    <w:rsid w:val="00A35DB7"/>
    <w:rsid w:val="00A414E5"/>
    <w:rsid w:val="00A516D4"/>
    <w:rsid w:val="00A5217F"/>
    <w:rsid w:val="00A5580A"/>
    <w:rsid w:val="00A56B24"/>
    <w:rsid w:val="00A641B0"/>
    <w:rsid w:val="00A66521"/>
    <w:rsid w:val="00A6698C"/>
    <w:rsid w:val="00A73066"/>
    <w:rsid w:val="00A8047C"/>
    <w:rsid w:val="00A84D3A"/>
    <w:rsid w:val="00A863CC"/>
    <w:rsid w:val="00A94B74"/>
    <w:rsid w:val="00A97D83"/>
    <w:rsid w:val="00AA00C7"/>
    <w:rsid w:val="00AA7D9E"/>
    <w:rsid w:val="00AB0911"/>
    <w:rsid w:val="00AB620B"/>
    <w:rsid w:val="00AC6FC0"/>
    <w:rsid w:val="00AD1920"/>
    <w:rsid w:val="00AE0E35"/>
    <w:rsid w:val="00AE42C1"/>
    <w:rsid w:val="00AE6672"/>
    <w:rsid w:val="00AF166C"/>
    <w:rsid w:val="00B051DD"/>
    <w:rsid w:val="00B0684C"/>
    <w:rsid w:val="00B1370A"/>
    <w:rsid w:val="00B14056"/>
    <w:rsid w:val="00B17914"/>
    <w:rsid w:val="00B17DDE"/>
    <w:rsid w:val="00B200A5"/>
    <w:rsid w:val="00B20487"/>
    <w:rsid w:val="00B225CB"/>
    <w:rsid w:val="00B32C11"/>
    <w:rsid w:val="00B5315A"/>
    <w:rsid w:val="00B56827"/>
    <w:rsid w:val="00B57785"/>
    <w:rsid w:val="00B61B57"/>
    <w:rsid w:val="00B64E24"/>
    <w:rsid w:val="00B67ABA"/>
    <w:rsid w:val="00B86420"/>
    <w:rsid w:val="00BA207B"/>
    <w:rsid w:val="00BA2269"/>
    <w:rsid w:val="00BA22E1"/>
    <w:rsid w:val="00BD7884"/>
    <w:rsid w:val="00BF4E75"/>
    <w:rsid w:val="00C23268"/>
    <w:rsid w:val="00C26A4D"/>
    <w:rsid w:val="00C305EB"/>
    <w:rsid w:val="00C325A9"/>
    <w:rsid w:val="00C32D1F"/>
    <w:rsid w:val="00C36798"/>
    <w:rsid w:val="00C36DEA"/>
    <w:rsid w:val="00C5549B"/>
    <w:rsid w:val="00C55998"/>
    <w:rsid w:val="00C5636B"/>
    <w:rsid w:val="00C56564"/>
    <w:rsid w:val="00C67DE7"/>
    <w:rsid w:val="00C73D34"/>
    <w:rsid w:val="00C8310E"/>
    <w:rsid w:val="00C86781"/>
    <w:rsid w:val="00C925BB"/>
    <w:rsid w:val="00C925CA"/>
    <w:rsid w:val="00C938EC"/>
    <w:rsid w:val="00C94867"/>
    <w:rsid w:val="00CA1C8A"/>
    <w:rsid w:val="00CA299E"/>
    <w:rsid w:val="00CA3FA9"/>
    <w:rsid w:val="00CA4346"/>
    <w:rsid w:val="00CA530C"/>
    <w:rsid w:val="00CA7917"/>
    <w:rsid w:val="00CB18BB"/>
    <w:rsid w:val="00CB298C"/>
    <w:rsid w:val="00CC3A16"/>
    <w:rsid w:val="00CE1F44"/>
    <w:rsid w:val="00CE25CD"/>
    <w:rsid w:val="00CE40F0"/>
    <w:rsid w:val="00CE440B"/>
    <w:rsid w:val="00CF3773"/>
    <w:rsid w:val="00D10058"/>
    <w:rsid w:val="00D100AD"/>
    <w:rsid w:val="00D1328A"/>
    <w:rsid w:val="00D147AF"/>
    <w:rsid w:val="00D22138"/>
    <w:rsid w:val="00D250AB"/>
    <w:rsid w:val="00D36EDD"/>
    <w:rsid w:val="00D43FBD"/>
    <w:rsid w:val="00D502A8"/>
    <w:rsid w:val="00D525E1"/>
    <w:rsid w:val="00D529B9"/>
    <w:rsid w:val="00D5322B"/>
    <w:rsid w:val="00D53476"/>
    <w:rsid w:val="00D541D1"/>
    <w:rsid w:val="00D623F0"/>
    <w:rsid w:val="00D81CB7"/>
    <w:rsid w:val="00D859E5"/>
    <w:rsid w:val="00D9113B"/>
    <w:rsid w:val="00D95917"/>
    <w:rsid w:val="00DA0E1A"/>
    <w:rsid w:val="00DB370D"/>
    <w:rsid w:val="00DB669B"/>
    <w:rsid w:val="00DC27A2"/>
    <w:rsid w:val="00DC5555"/>
    <w:rsid w:val="00DD2FCF"/>
    <w:rsid w:val="00DE607E"/>
    <w:rsid w:val="00DF05AC"/>
    <w:rsid w:val="00E00A7F"/>
    <w:rsid w:val="00E07E08"/>
    <w:rsid w:val="00E10A2E"/>
    <w:rsid w:val="00E15E1A"/>
    <w:rsid w:val="00E16842"/>
    <w:rsid w:val="00E30ACE"/>
    <w:rsid w:val="00E42512"/>
    <w:rsid w:val="00E42D7D"/>
    <w:rsid w:val="00E43ECE"/>
    <w:rsid w:val="00E600E4"/>
    <w:rsid w:val="00E61EF9"/>
    <w:rsid w:val="00E66484"/>
    <w:rsid w:val="00E67759"/>
    <w:rsid w:val="00E71AA9"/>
    <w:rsid w:val="00E73137"/>
    <w:rsid w:val="00E74143"/>
    <w:rsid w:val="00E74CB5"/>
    <w:rsid w:val="00E75976"/>
    <w:rsid w:val="00E76A6B"/>
    <w:rsid w:val="00E77D51"/>
    <w:rsid w:val="00E93886"/>
    <w:rsid w:val="00E96DED"/>
    <w:rsid w:val="00EA1201"/>
    <w:rsid w:val="00EB58B4"/>
    <w:rsid w:val="00EC318A"/>
    <w:rsid w:val="00EC35C9"/>
    <w:rsid w:val="00ED752B"/>
    <w:rsid w:val="00EE1637"/>
    <w:rsid w:val="00EE5B7B"/>
    <w:rsid w:val="00F014FE"/>
    <w:rsid w:val="00F113F5"/>
    <w:rsid w:val="00F15F7E"/>
    <w:rsid w:val="00F2017D"/>
    <w:rsid w:val="00F25D14"/>
    <w:rsid w:val="00F42870"/>
    <w:rsid w:val="00F45F29"/>
    <w:rsid w:val="00F5377C"/>
    <w:rsid w:val="00F60D2F"/>
    <w:rsid w:val="00F614F1"/>
    <w:rsid w:val="00F622F3"/>
    <w:rsid w:val="00F63A19"/>
    <w:rsid w:val="00F73B25"/>
    <w:rsid w:val="00F7401C"/>
    <w:rsid w:val="00F75B96"/>
    <w:rsid w:val="00F80438"/>
    <w:rsid w:val="00F812CC"/>
    <w:rsid w:val="00F94015"/>
    <w:rsid w:val="00F94B85"/>
    <w:rsid w:val="00FB5F66"/>
    <w:rsid w:val="00FC1CB8"/>
    <w:rsid w:val="00FC1E8E"/>
    <w:rsid w:val="00FC461A"/>
    <w:rsid w:val="00FC7E24"/>
    <w:rsid w:val="00FD3F0F"/>
    <w:rsid w:val="00FE1C76"/>
    <w:rsid w:val="00FE2BE8"/>
    <w:rsid w:val="00FE71DC"/>
    <w:rsid w:val="00FE73FB"/>
    <w:rsid w:val="00FE7CA4"/>
    <w:rsid w:val="00FF4F6C"/>
    <w:rsid w:val="00FF5C1B"/>
    <w:rsid w:val="00FF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terms/"/>
    <ds:schemaRef ds:uri="8c008993-a31f-4b40-b1f3-88dd9c6e1924"/>
    <ds:schemaRef ds:uri="http://schemas.microsoft.com/office/2006/documentManagement/types"/>
    <ds:schemaRef ds:uri="http://purl.org/dc/elements/1.1/"/>
    <ds:schemaRef ds:uri="http://www.w3.org/XML/1998/namespace"/>
    <ds:schemaRef ds:uri="http://purl.org/dc/dcmitype/"/>
    <ds:schemaRef ds:uri="http://schemas.microsoft.com/office/infopath/2007/PartnerControls"/>
    <ds:schemaRef ds:uri="http://schemas.openxmlformats.org/package/2006/metadata/core-properties"/>
    <ds:schemaRef ds:uri="360018dd-41eb-4458-b1d4-4b46a95a2b02"/>
    <ds:schemaRef ds:uri="http://schemas.microsoft.com/office/2006/metadata/properties"/>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D32658C7-D6A5-4556-B9AF-CD5AA95A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6</Pages>
  <Words>1496</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5</cp:revision>
  <dcterms:created xsi:type="dcterms:W3CDTF">2022-01-19T00:13:00Z</dcterms:created>
  <dcterms:modified xsi:type="dcterms:W3CDTF">2022-01-20T02:35:00Z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id="yVGvaDFo"/&gt;&lt;style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