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2E42" w14:textId="5B1722F0" w:rsidR="00F9671B" w:rsidRDefault="00F9671B" w:rsidP="00BC6239">
      <w:pPr>
        <w:pStyle w:val="Heading1"/>
      </w:pPr>
      <w:r>
        <w:t>Results</w:t>
      </w:r>
    </w:p>
    <w:p w14:paraId="371C6FBC" w14:textId="26B247A0" w:rsidR="00D64AF0" w:rsidRPr="00141FDA" w:rsidRDefault="00F9671B" w:rsidP="00B8628D">
      <w:pPr>
        <w:ind w:firstLine="720"/>
      </w:pPr>
      <w:r>
        <w:t xml:space="preserve">Three main assemblages within Ladner Marsh can be characterized by the same dominant species across all sampling periods. However, cluster analysis shows species cover is becoming more homogenous within assemblages, but more distinct between assemblages </w:t>
      </w:r>
      <w:r w:rsidRPr="00791A3B">
        <w:t>(</w:t>
      </w:r>
      <w:r>
        <w:t xml:space="preserve">Figure </w:t>
      </w:r>
      <w:r>
        <w:rPr>
          <w:noProof/>
        </w:rPr>
        <w:t>2</w:t>
      </w:r>
      <w:r w:rsidRPr="00791A3B">
        <w:t>)</w:t>
      </w:r>
      <w:r>
        <w:t>. While the indicator species with greater significance across each assemblage remain constant over time (</w:t>
      </w:r>
      <w:r w:rsidRPr="00DC704D">
        <w:rPr>
          <w:i/>
        </w:rPr>
        <w:t>i.e.</w:t>
      </w:r>
      <w:r>
        <w:t xml:space="preserve">, </w:t>
      </w:r>
      <w:r w:rsidRPr="00DC704D">
        <w:rPr>
          <w:i/>
        </w:rPr>
        <w:t>Carex lyngbyei</w:t>
      </w:r>
      <w:r>
        <w:t xml:space="preserve">, </w:t>
      </w:r>
      <w:r>
        <w:rPr>
          <w:i/>
        </w:rPr>
        <w:t>Menyanthes trifoliata, Fescue arundinaceae</w:t>
      </w:r>
      <w:r>
        <w:t>) and drive cluster groups, other species that significantly drive indicators of assemblages change over tim</w:t>
      </w:r>
      <w:r w:rsidRPr="00F96909">
        <w:t>e (</w:t>
      </w:r>
      <w:r>
        <w:t xml:space="preserve">Table 1, </w:t>
      </w:r>
      <w:r w:rsidRPr="00615FBC">
        <w:t>Table 4</w:t>
      </w:r>
      <w:r w:rsidRPr="00F96909">
        <w:t>)</w:t>
      </w:r>
      <w:r>
        <w:t xml:space="preserve">. For example, in 1979 the indicator species defining the Sedge assemblage cluster were </w:t>
      </w:r>
      <w:r>
        <w:rPr>
          <w:i/>
        </w:rPr>
        <w:t xml:space="preserve">C. lyngbyei, S. latifolia, </w:t>
      </w:r>
      <w:r>
        <w:t xml:space="preserve">and </w:t>
      </w:r>
      <w:r>
        <w:rPr>
          <w:i/>
        </w:rPr>
        <w:t>S. tabernaemontani</w:t>
      </w:r>
      <w:r>
        <w:t xml:space="preserve">, however in 1999 the same assemblage included indicator species </w:t>
      </w:r>
      <w:r>
        <w:rPr>
          <w:i/>
        </w:rPr>
        <w:t xml:space="preserve">C. lyngbyei, A. stolonifera, </w:t>
      </w:r>
      <w:r>
        <w:t xml:space="preserve">and </w:t>
      </w:r>
      <w:r>
        <w:rPr>
          <w:i/>
        </w:rPr>
        <w:t>I. capensis</w:t>
      </w:r>
      <w:r>
        <w:t xml:space="preserve">. Thus, although </w:t>
      </w:r>
      <w:r>
        <w:rPr>
          <w:i/>
        </w:rPr>
        <w:t>C. lyngbyei</w:t>
      </w:r>
      <w:r>
        <w:t xml:space="preserve"> remained the common indicator species of the assemblage cluster group, the associated indicator species had changed. Additionally, fewer indicator species were found in the Sedge and Fescue assemblages in 2019 than in 1979. For example, the Sedge assemblage was characterized by three species (including </w:t>
      </w:r>
      <w:r>
        <w:rPr>
          <w:i/>
        </w:rPr>
        <w:t>C. lyngbyei</w:t>
      </w:r>
      <w:r>
        <w:t xml:space="preserve">) in 1979 and 1999, but only by </w:t>
      </w:r>
      <w:r>
        <w:rPr>
          <w:i/>
        </w:rPr>
        <w:t>C. lyngbyei</w:t>
      </w:r>
      <w:r>
        <w:t xml:space="preserve"> in 2019. The Fescue group was characterized by seven species in 1979, four species in 1999, and three species in 2019. While </w:t>
      </w:r>
      <w:r>
        <w:rPr>
          <w:i/>
        </w:rPr>
        <w:t>Festuca arundinaceae</w:t>
      </w:r>
      <w:r>
        <w:t xml:space="preserve"> remained a common indicator species within the assemblage, all other indicator species changed in each observation year. </w:t>
      </w:r>
    </w:p>
    <w:p w14:paraId="6B98EEE3" w14:textId="612F4DBE" w:rsidR="00F9671B" w:rsidRPr="007F1F34" w:rsidRDefault="00F9671B" w:rsidP="007F1F34">
      <w:pPr>
        <w:ind w:firstLine="720"/>
      </w:pPr>
      <w:bookmarkStart w:id="0" w:name="_Hlk106053520"/>
      <w:r w:rsidRPr="00167685">
        <w:rPr>
          <w:iCs/>
        </w:rPr>
        <w:t>Across the entire Ladner Marsh plant community, two to three species were lost each year following the 1979 survey. Within every assemblage alpha-diversity (mean number of species per plot) decreased every observation year, while beta-diversity (variation in number of species between plots) increased each year for all assemblages</w:t>
      </w:r>
      <w:r w:rsidR="00BA151C" w:rsidRPr="00167685">
        <w:rPr>
          <w:iCs/>
        </w:rPr>
        <w:t>.</w:t>
      </w:r>
      <w:r w:rsidRPr="00167685">
        <w:rPr>
          <w:iCs/>
        </w:rPr>
        <w:t xml:space="preserve"> (Table 2)</w:t>
      </w:r>
      <w:r w:rsidR="00294CC5">
        <w:rPr>
          <w:iCs/>
        </w:rPr>
        <w:t xml:space="preserve"> </w:t>
      </w:r>
      <w:r w:rsidR="00294CC5" w:rsidRPr="00294CC5">
        <w:rPr>
          <w:iCs/>
        </w:rPr>
        <w:t xml:space="preserve">For example, the Sedge community suffered the least loss of species and alpha-diversity across sampling years, although beta-diversity increased as in other assemblages, indicating increasing variability (and thus increased rarity) in which species may be encountered within a given assemblage. The Fescue assemblage had the greatest loss of alpha-diversity (&gt; 50%) between 1979 and 2019. Nearly 50% fewer plots clustered as Fescue in 2019 than in 1979, however bootstrapping 18 random plots from every sampling year showed the same trend, indicating that loss of species is not related to loss of plots (Table S5). </w:t>
      </w:r>
      <w:r w:rsidR="00A6725E" w:rsidRPr="00A6725E">
        <w:rPr>
          <w:iCs/>
        </w:rPr>
        <w:t>Total magnitude of species turnover between 1999 and 2019 was ~50% in each assemblage, largely driven by greater species disappearance (loss) between 1999 and 2019</w:t>
      </w:r>
      <w:r w:rsidR="008E2136">
        <w:rPr>
          <w:iCs/>
        </w:rPr>
        <w:t xml:space="preserve"> </w:t>
      </w:r>
      <w:r w:rsidR="008E2136" w:rsidRPr="00A6725E">
        <w:rPr>
          <w:iCs/>
        </w:rPr>
        <w:t>(Table 6)</w:t>
      </w:r>
      <w:r w:rsidR="00A6725E" w:rsidRPr="00A6725E">
        <w:rPr>
          <w:iCs/>
        </w:rPr>
        <w:t>.</w:t>
      </w:r>
      <w:r w:rsidR="008E2136">
        <w:rPr>
          <w:iCs/>
        </w:rPr>
        <w:t xml:space="preserve"> </w:t>
      </w:r>
      <w:r w:rsidR="00330C58" w:rsidRPr="007F1F34">
        <w:t>Th</w:t>
      </w:r>
      <w:r w:rsidR="00330C58">
        <w:t xml:space="preserve">e greatest loss of native species richness occurred in the Fescue assemblage, while nominal gains in exotic richness were found in all assemblages (Table </w:t>
      </w:r>
      <w:r w:rsidR="00330C58">
        <w:rPr>
          <w:noProof/>
        </w:rPr>
        <w:t>7</w:t>
      </w:r>
      <w:r w:rsidR="00330C58">
        <w:t>). The Fescue assemblage lost a total of 23 native species (net loss of 18 native species) between 1979 and 2019. Among the species lost from the assemblag</w:t>
      </w:r>
      <w:r w:rsidR="00330C58" w:rsidRPr="00F8601E">
        <w:t>e, 12 we</w:t>
      </w:r>
      <w:r w:rsidR="00330C58">
        <w:t>re lost from all three assemblages (six forbs, six graminoids), or were never found in any other assemblage. Species gained include two woody species, and one each of forb, graminoid, and fern ally (</w:t>
      </w:r>
      <w:r w:rsidR="00330C58">
        <w:rPr>
          <w:i/>
        </w:rPr>
        <w:t xml:space="preserve">Equisetum </w:t>
      </w:r>
      <w:proofErr w:type="spellStart"/>
      <w:r w:rsidR="00330C58">
        <w:rPr>
          <w:i/>
        </w:rPr>
        <w:t>arvense</w:t>
      </w:r>
      <w:proofErr w:type="spellEnd"/>
      <w:r w:rsidR="00330C58">
        <w:t xml:space="preserve">). There was a net zero gain of exotics in the Fescue assemblage, however exotic RCG accounts for the greatest 2019 mean cover in the entire assemblage (25-50% </w:t>
      </w:r>
      <w:r w:rsidR="00BA151C">
        <w:t xml:space="preserve">mean </w:t>
      </w:r>
      <w:r w:rsidR="00330C58">
        <w:t xml:space="preserve">cover). In the Bogbean assemblage, new exotic species include </w:t>
      </w:r>
      <w:r w:rsidR="00330C58" w:rsidRPr="00AC2BE4">
        <w:rPr>
          <w:i/>
        </w:rPr>
        <w:t>Phalaris arundinaceae</w:t>
      </w:r>
      <w:r w:rsidR="00330C58">
        <w:t xml:space="preserve"> (reed canary grass, RCG) and </w:t>
      </w:r>
      <w:r w:rsidR="00330C58" w:rsidRPr="00AC2BE4">
        <w:rPr>
          <w:i/>
        </w:rPr>
        <w:t>Iris pseudacorus</w:t>
      </w:r>
      <w:r w:rsidR="00330C58">
        <w:t xml:space="preserve"> (yellow flag iris). Within the Sedge assemblage, there was a net loss of 3 native species, and net gain of 3 exotic species, including yellow flag</w:t>
      </w:r>
      <w:r w:rsidR="0082231C">
        <w:t xml:space="preserve"> iris</w:t>
      </w:r>
      <w:r w:rsidR="00330C58">
        <w:t xml:space="preserve"> and RCG. As of 2019, these species accounted for </w:t>
      </w:r>
      <w:r w:rsidR="00330C58" w:rsidRPr="00AC2BE4">
        <w:rPr>
          <w:u w:val="single"/>
        </w:rPr>
        <w:t>&lt;</w:t>
      </w:r>
      <w:r w:rsidR="00330C58">
        <w:t xml:space="preserve"> 25% mean cover, but may be of significant management concern.</w:t>
      </w:r>
    </w:p>
    <w:bookmarkEnd w:id="0"/>
    <w:p w14:paraId="2D22FE7D" w14:textId="704D3ACE" w:rsidR="00825EA9" w:rsidRPr="00825EA9" w:rsidRDefault="00F9671B" w:rsidP="0033314F">
      <w:pPr>
        <w:ind w:firstLine="720"/>
      </w:pPr>
      <w:r>
        <w:t xml:space="preserve">Cover abundance of species significantly driving assemblage associations show an overall trend of decreasing cover over time </w:t>
      </w:r>
      <w:r w:rsidRPr="00C56065">
        <w:t>(</w:t>
      </w:r>
      <w:r>
        <w:t xml:space="preserve">Figure </w:t>
      </w:r>
      <w:r>
        <w:rPr>
          <w:noProof/>
        </w:rPr>
        <w:t>3</w:t>
      </w:r>
      <w:r w:rsidRPr="00C56065">
        <w:t>). Notably, Fescue assemblage shows ~50% decrease in cover of characteristic</w:t>
      </w:r>
      <w:r>
        <w:t xml:space="preserve"> </w:t>
      </w:r>
      <w:r w:rsidR="000D5E29">
        <w:t>exotic</w:t>
      </w:r>
      <w:r w:rsidRPr="00C56065">
        <w:t xml:space="preserve"> species </w:t>
      </w:r>
      <w:r w:rsidRPr="00C56065">
        <w:rPr>
          <w:i/>
        </w:rPr>
        <w:t>Festuca arundinaceae</w:t>
      </w:r>
      <w:r>
        <w:rPr>
          <w:i/>
        </w:rPr>
        <w:t xml:space="preserve"> </w:t>
      </w:r>
      <w:r>
        <w:t>between 1979 and 2019</w:t>
      </w:r>
      <w:r w:rsidRPr="00C56065">
        <w:t xml:space="preserve">, while cover of </w:t>
      </w:r>
      <w:r w:rsidR="000D5E29">
        <w:t>exotic</w:t>
      </w:r>
      <w:r w:rsidRPr="00C56065">
        <w:t xml:space="preserve"> </w:t>
      </w:r>
      <w:r w:rsidRPr="00C56065">
        <w:rPr>
          <w:i/>
        </w:rPr>
        <w:t>Phalaris arundinaceae</w:t>
      </w:r>
      <w:r w:rsidRPr="00C56065">
        <w:t xml:space="preserve"> </w:t>
      </w:r>
      <w:r>
        <w:t>tripled</w:t>
      </w:r>
      <w:r w:rsidRPr="00C56065">
        <w:t xml:space="preserve"> since 1999.</w:t>
      </w:r>
      <w:r w:rsidR="006A7468">
        <w:t xml:space="preserve"> </w:t>
      </w:r>
      <w:r w:rsidR="006A7468">
        <w:t xml:space="preserve">In the Sedge assemblage both native keystone species </w:t>
      </w:r>
      <w:r w:rsidR="006A7468" w:rsidRPr="00AC2BE4">
        <w:rPr>
          <w:i/>
        </w:rPr>
        <w:t>Carex lyngbyei</w:t>
      </w:r>
      <w:r w:rsidR="006A7468">
        <w:t xml:space="preserve"> and exotic grass </w:t>
      </w:r>
      <w:r w:rsidR="006A7468" w:rsidRPr="00AC2BE4">
        <w:rPr>
          <w:i/>
        </w:rPr>
        <w:t>Agrostis stolonifera</w:t>
      </w:r>
      <w:r w:rsidR="006A7468">
        <w:t xml:space="preserve"> had decreased cover abundance from 1979-2019 (Figure 3), with each species losing ~25-35% cover abundance between 1979-2019. Meanwhile, exotic species </w:t>
      </w:r>
      <w:r w:rsidR="006A7468" w:rsidRPr="00AC2BE4">
        <w:rPr>
          <w:i/>
        </w:rPr>
        <w:t xml:space="preserve">Lythrum salicaria </w:t>
      </w:r>
      <w:r w:rsidR="006A7468">
        <w:t xml:space="preserve">and </w:t>
      </w:r>
      <w:r w:rsidR="006A7468" w:rsidRPr="00AC2BE4">
        <w:rPr>
          <w:i/>
        </w:rPr>
        <w:t>Festuca arundinaceae</w:t>
      </w:r>
      <w:r w:rsidR="006A7468">
        <w:t xml:space="preserve"> increased ~50% and 100%, respectively, in abundance (</w:t>
      </w:r>
      <w:r w:rsidR="006A7468" w:rsidRPr="00AC2BE4">
        <w:rPr>
          <w:u w:val="single"/>
        </w:rPr>
        <w:t>&lt;</w:t>
      </w:r>
      <w:r w:rsidR="006A7468">
        <w:t xml:space="preserve"> 25% mean cover) by 2019 (Table 7). Similarly, in the Bogbean assemblage, cover abundance of native keystone species </w:t>
      </w:r>
      <w:r w:rsidR="006A7468" w:rsidRPr="00AC2BE4">
        <w:rPr>
          <w:i/>
        </w:rPr>
        <w:t>Menyanthes trifoliata</w:t>
      </w:r>
      <w:r w:rsidR="006A7468">
        <w:t xml:space="preserve"> had declined ~21% (50-75% mean cover) by 2019, while cover of exotic </w:t>
      </w:r>
      <w:r w:rsidR="006A7468" w:rsidRPr="00AC2BE4">
        <w:rPr>
          <w:i/>
        </w:rPr>
        <w:t xml:space="preserve">Mentha aquatica </w:t>
      </w:r>
      <w:r w:rsidR="006A7468">
        <w:t>had increased ~385% (~25-50% mean cover).</w:t>
      </w:r>
      <w:r w:rsidR="006A7468">
        <w:t xml:space="preserve"> </w:t>
      </w:r>
      <w:r>
        <w:t xml:space="preserve">In summary, while the dominant species are maintained, their cover abundance within each assemblage is declining. Moreover, some </w:t>
      </w:r>
      <w:r w:rsidR="00F92509">
        <w:t>exotic</w:t>
      </w:r>
      <w:r>
        <w:t xml:space="preserve"> species have increased substantially in cover abundance in the Fescue and Bogbean assemblages since the original survey, indicating these assemblages are becoming increasingly occupied by </w:t>
      </w:r>
      <w:r w:rsidR="000D5E29">
        <w:t>exotic</w:t>
      </w:r>
      <w:bookmarkStart w:id="1" w:name="_GoBack"/>
      <w:bookmarkEnd w:id="1"/>
      <w:r>
        <w:t xml:space="preserve"> species. </w:t>
      </w:r>
    </w:p>
    <w:p w14:paraId="65D1FD3A" w14:textId="77777777" w:rsidR="00A87E7B" w:rsidRDefault="00A87E7B">
      <w:pPr>
        <w:rPr>
          <w:rFonts w:asciiTheme="majorHAnsi" w:eastAsiaTheme="majorEastAsia" w:hAnsiTheme="majorHAnsi" w:cstheme="majorBidi"/>
          <w:color w:val="2F5496" w:themeColor="accent1" w:themeShade="BF"/>
          <w:sz w:val="32"/>
          <w:szCs w:val="32"/>
        </w:rPr>
      </w:pPr>
      <w:r>
        <w:br w:type="page"/>
      </w:r>
    </w:p>
    <w:p w14:paraId="2E9E831E" w14:textId="64066EB5" w:rsidR="00BC6239" w:rsidRDefault="00BC6239" w:rsidP="00BC6239">
      <w:pPr>
        <w:pStyle w:val="Heading1"/>
      </w:pPr>
      <w:r>
        <w:t xml:space="preserve">Discussion </w:t>
      </w:r>
    </w:p>
    <w:p w14:paraId="1218DE6F" w14:textId="1A91C1B1" w:rsidR="00BC6239" w:rsidRDefault="009200D5" w:rsidP="002C49E6">
      <w:pPr>
        <w:ind w:firstLine="720"/>
      </w:pPr>
      <w:r>
        <w:t>D</w:t>
      </w:r>
      <w:r>
        <w:t>espite conservation status and broad resilience of this ecosystem</w:t>
      </w:r>
      <w:r>
        <w:t xml:space="preserve"> w</w:t>
      </w:r>
      <w:r w:rsidR="00BC6239">
        <w:t xml:space="preserve">e </w:t>
      </w:r>
      <w:r>
        <w:t>found</w:t>
      </w:r>
      <w:r w:rsidR="00BC6239">
        <w:t xml:space="preserve"> there have been substantive changes in species composition over ti</w:t>
      </w:r>
      <w:r w:rsidR="007E5C7B">
        <w:t>me, potentially</w:t>
      </w:r>
      <w:r w:rsidR="00BC6239">
        <w:t xml:space="preserve"> indicating </w:t>
      </w:r>
      <w:r w:rsidR="00953220">
        <w:t xml:space="preserve">broader-scale processes affected by </w:t>
      </w:r>
      <w:r w:rsidR="00BC6239">
        <w:t>regional pressures</w:t>
      </w:r>
      <w:r w:rsidR="00953220">
        <w:t xml:space="preserve">. </w:t>
      </w:r>
      <w:r w:rsidR="00BC6239">
        <w:t>We found</w:t>
      </w:r>
      <w:r w:rsidR="00A83C5B">
        <w:t xml:space="preserve"> the</w:t>
      </w:r>
      <w:r w:rsidR="00BC6239">
        <w:t xml:space="preserve"> three species most significantly characterizing the three main plant assemblages, Sedge, Fescue and Bogbean, have remained the same over the past 40 years, supporting our expectation that these characteristic species should not change in the absence of significant environmental disturbance. </w:t>
      </w:r>
      <w:r w:rsidR="00967AF6">
        <w:t>Also,</w:t>
      </w:r>
      <w:r w:rsidR="002B76D8">
        <w:t xml:space="preserve"> in line with our expectations</w:t>
      </w:r>
      <w:r w:rsidR="00BC6239">
        <w:t>, we observed a decline of native species richness</w:t>
      </w:r>
      <w:r w:rsidR="00967AF6">
        <w:t xml:space="preserve"> accompanied by an</w:t>
      </w:r>
      <w:r w:rsidR="00BC6239">
        <w:t xml:space="preserve"> increased richness and abundance of exotic species</w:t>
      </w:r>
      <w:r w:rsidR="00A83C5B">
        <w:t>. This has led to</w:t>
      </w:r>
      <w:r w:rsidR="00BC6239">
        <w:t xml:space="preserve"> homogenization of cover abundance within assemblages, greater dissimilarity between assemblages</w:t>
      </w:r>
      <w:r w:rsidR="00873404">
        <w:t>, and</w:t>
      </w:r>
      <w:r w:rsidR="00BC6239">
        <w:t xml:space="preserve"> overall loss of secondary indicator species for the Sedge and Fescue assemblages. Our results present another compelling case example of broader global trends of species homogenization, and are of critical concern to local conservation objectives in the Fraser River Estuary for salmon, water birds, and shoreline stability. </w:t>
      </w:r>
    </w:p>
    <w:p w14:paraId="1AF14473" w14:textId="5478FE7A" w:rsidR="00E971E9" w:rsidRDefault="00BC6239" w:rsidP="00E971E9">
      <w:pPr>
        <w:ind w:firstLine="360"/>
      </w:pPr>
      <w:r>
        <w:lastRenderedPageBreak/>
        <w:t xml:space="preserve">The biodiversity loss of native species richness </w:t>
      </w:r>
      <w:r w:rsidR="00646A6D">
        <w:t>could</w:t>
      </w:r>
      <w:r>
        <w:t xml:space="preserve"> </w:t>
      </w:r>
      <w:r w:rsidR="009C1666">
        <w:t xml:space="preserve">potentially </w:t>
      </w:r>
      <w:r>
        <w:t>indicate loss of functional redundancy (and thus resilience) within the assemblage</w:t>
      </w:r>
      <w:r w:rsidR="00873404">
        <w:t xml:space="preserve"> or</w:t>
      </w:r>
      <w:r>
        <w:t xml:space="preserve"> marsh community as a whole</w:t>
      </w:r>
      <w:r w:rsidR="00873404">
        <w:t>, although m</w:t>
      </w:r>
      <w:r w:rsidR="009B7BBC">
        <w:t xml:space="preserve">any species gained and lost </w:t>
      </w:r>
      <w:r w:rsidR="00646A6D">
        <w:t xml:space="preserve">between years </w:t>
      </w:r>
      <w:r w:rsidR="009B7BBC">
        <w:t xml:space="preserve">were comparable in terms of generalized plant function. That is, the exchange of one </w:t>
      </w:r>
      <w:r w:rsidR="005A4306">
        <w:t xml:space="preserve">perennial </w:t>
      </w:r>
      <w:r w:rsidR="009B7BBC">
        <w:t xml:space="preserve">graminoid or forb species for another may not </w:t>
      </w:r>
      <w:r w:rsidR="005A4306">
        <w:t xml:space="preserve">result in community-wide functional changes. One functional group </w:t>
      </w:r>
      <w:r w:rsidR="00E6108D">
        <w:t>to</w:t>
      </w:r>
      <w:r w:rsidR="005A4306">
        <w:t xml:space="preserve"> note were the woody species gained and lost, as woody </w:t>
      </w:r>
      <w:r w:rsidR="00856B3A">
        <w:t>species</w:t>
      </w:r>
      <w:r w:rsidR="005A4306">
        <w:t xml:space="preserve"> traits convey </w:t>
      </w:r>
      <w:r w:rsidR="00856B3A">
        <w:t>different structural</w:t>
      </w:r>
      <w:r w:rsidR="00DF5C3A">
        <w:t xml:space="preserve"> habitat</w:t>
      </w:r>
      <w:r w:rsidR="00856B3A">
        <w:t xml:space="preserve"> qualities</w:t>
      </w:r>
      <w:r w:rsidR="009C1666">
        <w:t xml:space="preserve"> than herbaceous</w:t>
      </w:r>
      <w:r w:rsidR="00DF5C3A">
        <w:t xml:space="preserve"> species</w:t>
      </w:r>
      <w:r w:rsidR="00856B3A">
        <w:t xml:space="preserve">. </w:t>
      </w:r>
      <w:r w:rsidR="00E6108D">
        <w:t>Willow (</w:t>
      </w:r>
      <w:r w:rsidR="00E6108D">
        <w:rPr>
          <w:i/>
        </w:rPr>
        <w:t xml:space="preserve">Salix </w:t>
      </w:r>
      <w:r w:rsidR="00E6108D">
        <w:t xml:space="preserve">sp.) </w:t>
      </w:r>
      <w:r w:rsidR="003C41DA">
        <w:t>was</w:t>
      </w:r>
      <w:r w:rsidR="00E6108D">
        <w:t xml:space="preserve"> most prevalent in the Fescue assemblage in 1979, but</w:t>
      </w:r>
      <w:r w:rsidR="00D0626A">
        <w:t xml:space="preserve"> was</w:t>
      </w:r>
      <w:r w:rsidR="00E6108D">
        <w:t xml:space="preserve"> </w:t>
      </w:r>
      <w:r w:rsidR="00D0626A">
        <w:t>most</w:t>
      </w:r>
      <w:r w:rsidR="00E6108D">
        <w:t xml:space="preserve"> abundant in the Sedge assemblage</w:t>
      </w:r>
      <w:r w:rsidR="00D0626A">
        <w:t xml:space="preserve"> in 2019</w:t>
      </w:r>
      <w:r w:rsidR="00E6108D">
        <w:t>.</w:t>
      </w:r>
      <w:r w:rsidR="003C41DA">
        <w:t xml:space="preserve"> This</w:t>
      </w:r>
      <w:r w:rsidR="00E6108D">
        <w:t xml:space="preserve"> </w:t>
      </w:r>
      <w:r w:rsidR="00F2778B">
        <w:t xml:space="preserve">could </w:t>
      </w:r>
      <w:r w:rsidR="003C41DA">
        <w:t>suggest long-term shift</w:t>
      </w:r>
      <w:r w:rsidR="009200D5">
        <w:t>s</w:t>
      </w:r>
      <w:r w:rsidR="003C41DA">
        <w:t xml:space="preserve"> in </w:t>
      </w:r>
      <w:r w:rsidR="00250F16">
        <w:t>edaphic</w:t>
      </w:r>
      <w:r w:rsidR="003C41DA">
        <w:t xml:space="preserve"> factors </w:t>
      </w:r>
      <w:r w:rsidR="00250F16">
        <w:t xml:space="preserve">and/or the subsequent encroachment of exotic </w:t>
      </w:r>
      <w:r w:rsidR="00967AF6">
        <w:t>reed canary grass (“</w:t>
      </w:r>
      <w:r w:rsidR="00250F16">
        <w:t>RCG</w:t>
      </w:r>
      <w:r w:rsidR="00967AF6">
        <w:t xml:space="preserve">,” </w:t>
      </w:r>
      <w:r w:rsidR="00967AF6">
        <w:rPr>
          <w:i/>
        </w:rPr>
        <w:t>Phalaris arundinaceae</w:t>
      </w:r>
      <w:r w:rsidR="00967AF6">
        <w:t>)</w:t>
      </w:r>
      <w:r w:rsidR="00250F16">
        <w:t xml:space="preserve">, </w:t>
      </w:r>
      <w:r w:rsidR="003C41DA">
        <w:t xml:space="preserve">making the </w:t>
      </w:r>
      <w:r w:rsidR="003C41DA">
        <w:t>Fescue assemblage</w:t>
      </w:r>
      <w:r w:rsidR="003C41DA">
        <w:t xml:space="preserve"> less hospitable to willow</w:t>
      </w:r>
      <w:r w:rsidR="00250F16">
        <w:t xml:space="preserve">. </w:t>
      </w:r>
      <w:r w:rsidR="00353906">
        <w:t>The identity of the shifting indicator species may</w:t>
      </w:r>
      <w:r w:rsidR="00954F83">
        <w:t xml:space="preserve"> also</w:t>
      </w:r>
      <w:r w:rsidR="00353906">
        <w:t xml:space="preserve"> offer clues to changing abiotic conditions or functional traits. For example, the indicator species analysis for the Sedge assemblage in 1979 included indicators of highly saturated soils (</w:t>
      </w:r>
      <w:r w:rsidR="00353906">
        <w:rPr>
          <w:i/>
        </w:rPr>
        <w:t>Sagittaria latifolia, Schoenoplectus tabernaemontani</w:t>
      </w:r>
      <w:r w:rsidR="00353906">
        <w:t>), but in 1999 the assemblage indicators included species tolerant of drier conditions (</w:t>
      </w:r>
      <w:r w:rsidR="00353906">
        <w:rPr>
          <w:i/>
        </w:rPr>
        <w:t>Agrostis stolonifera, Impatiens capensis</w:t>
      </w:r>
      <w:r w:rsidR="00353906">
        <w:t xml:space="preserve">). </w:t>
      </w:r>
      <w:r w:rsidR="002F718E">
        <w:rPr>
          <w:i/>
        </w:rPr>
        <w:t>[</w:t>
      </w:r>
      <w:r w:rsidR="002F718E" w:rsidRPr="002F718E">
        <w:rPr>
          <w:i/>
          <w:highlight w:val="lightGray"/>
        </w:rPr>
        <w:t>that’s all, folks?</w:t>
      </w:r>
      <w:r w:rsidR="002F718E">
        <w:rPr>
          <w:i/>
        </w:rPr>
        <w:t>]</w:t>
      </w:r>
      <w:r w:rsidR="006359FF">
        <w:rPr>
          <w:i/>
        </w:rPr>
        <w:t xml:space="preserve"> </w:t>
      </w:r>
      <w:r w:rsidR="00353906">
        <w:t xml:space="preserve">The turnover of secondary </w:t>
      </w:r>
      <w:commentRangeStart w:id="2"/>
      <w:r w:rsidR="00353906">
        <w:t xml:space="preserve">indicator </w:t>
      </w:r>
      <w:commentRangeEnd w:id="2"/>
      <w:r w:rsidR="000276BF">
        <w:rPr>
          <w:rStyle w:val="CommentReference"/>
        </w:rPr>
        <w:commentReference w:id="2"/>
      </w:r>
      <w:r w:rsidR="00353906">
        <w:t xml:space="preserve">species may simply represent </w:t>
      </w:r>
      <w:r w:rsidR="000276BF">
        <w:t xml:space="preserve">high </w:t>
      </w:r>
      <w:r w:rsidR="00353906">
        <w:t xml:space="preserve">interannual </w:t>
      </w:r>
      <w:r w:rsidR="000276BF">
        <w:t xml:space="preserve">variation in species </w:t>
      </w:r>
      <w:r w:rsidR="00353906">
        <w:t>compositional abundance</w:t>
      </w:r>
      <w:r w:rsidR="000276BF">
        <w:t>, despite being a perennial-dominated community</w:t>
      </w:r>
      <w:r w:rsidR="00353906">
        <w:t xml:space="preserve">. However, greater homogeneity of cover abundance within assemblages, and greater compositional abundance distinction between assemblages may result directly from overall loss of native floristic richness. These trends of high turnover and loss of richness may indicate greater susceptibility to invasion </w:t>
      </w:r>
      <w:r w:rsidR="00353906" w:rsidRPr="008D464D">
        <w:rPr>
          <w:rFonts w:ascii="Calibri" w:hAnsi="Calibri" w:cs="Calibri"/>
          <w:szCs w:val="24"/>
        </w:rPr>
        <w:t>(</w:t>
      </w:r>
      <w:proofErr w:type="spellStart"/>
      <w:r w:rsidR="00353906" w:rsidRPr="008D464D">
        <w:rPr>
          <w:rFonts w:ascii="Calibri" w:hAnsi="Calibri" w:cs="Calibri"/>
          <w:szCs w:val="24"/>
        </w:rPr>
        <w:t>Kuiters</w:t>
      </w:r>
      <w:proofErr w:type="spellEnd"/>
      <w:r w:rsidR="00353906" w:rsidRPr="008D464D">
        <w:rPr>
          <w:rFonts w:ascii="Calibri" w:hAnsi="Calibri" w:cs="Calibri"/>
          <w:szCs w:val="24"/>
        </w:rPr>
        <w:t xml:space="preserve">, </w:t>
      </w:r>
      <w:r w:rsidR="00353906">
        <w:rPr>
          <w:rFonts w:ascii="Calibri" w:hAnsi="Calibri" w:cs="Calibri"/>
          <w:i/>
          <w:szCs w:val="24"/>
        </w:rPr>
        <w:t>et al.</w:t>
      </w:r>
      <w:r w:rsidR="00353906" w:rsidRPr="008D464D">
        <w:rPr>
          <w:rFonts w:ascii="Calibri" w:hAnsi="Calibri" w:cs="Calibri"/>
          <w:szCs w:val="24"/>
        </w:rPr>
        <w:t>, 2009)</w:t>
      </w:r>
      <w:r w:rsidR="00353906">
        <w:rPr>
          <w:rFonts w:ascii="Calibri" w:hAnsi="Calibri" w:cs="Calibri"/>
          <w:szCs w:val="24"/>
        </w:rPr>
        <w:t>, and thus a loss of resistance over time to exotic species encroachment</w:t>
      </w:r>
      <w:r w:rsidR="00353906" w:rsidRPr="006359FF">
        <w:rPr>
          <w:rFonts w:ascii="Calibri" w:hAnsi="Calibri" w:cs="Calibri"/>
          <w:szCs w:val="24"/>
        </w:rPr>
        <w:t xml:space="preserve">.  </w:t>
      </w:r>
      <w:r w:rsidR="00E971E9" w:rsidRPr="006359FF">
        <w:t>Ove</w:t>
      </w:r>
      <w:r w:rsidR="00D4287A" w:rsidRPr="006359FF">
        <w:t xml:space="preserve">r time </w:t>
      </w:r>
      <w:r w:rsidR="00E971E9" w:rsidRPr="006359FF">
        <w:t xml:space="preserve">the ratio of native to exotic cover within assemblages </w:t>
      </w:r>
      <w:r w:rsidR="00D4287A" w:rsidRPr="006359FF">
        <w:t>declined</w:t>
      </w:r>
      <w:r w:rsidR="00E971E9" w:rsidRPr="006359FF">
        <w:t xml:space="preserve">, </w:t>
      </w:r>
      <w:r w:rsidR="00E214AF" w:rsidRPr="006359FF">
        <w:t xml:space="preserve">although </w:t>
      </w:r>
      <w:r w:rsidR="00E214AF" w:rsidRPr="006359FF">
        <w:t>few species (native or exotic) represent the majority of cover within the assemblage</w:t>
      </w:r>
      <w:r w:rsidR="00E971E9" w:rsidRPr="006359FF">
        <w:t xml:space="preserve"> (Figure </w:t>
      </w:r>
      <w:r w:rsidR="00E971E9" w:rsidRPr="006359FF">
        <w:rPr>
          <w:noProof/>
        </w:rPr>
        <w:t>5</w:t>
      </w:r>
      <w:r w:rsidR="00E971E9" w:rsidRPr="006359FF">
        <w:t xml:space="preserve">b). </w:t>
      </w:r>
      <w:r w:rsidR="00E214AF" w:rsidRPr="006359FF">
        <w:t>Exotic species of local management concern (e.g., RCG, yellow flag iris</w:t>
      </w:r>
      <w:r w:rsidR="006C5D12" w:rsidRPr="006359FF">
        <w:t xml:space="preserve"> (</w:t>
      </w:r>
      <w:r w:rsidR="006C5D12" w:rsidRPr="006359FF">
        <w:rPr>
          <w:i/>
        </w:rPr>
        <w:t>Iris pseud</w:t>
      </w:r>
      <w:r w:rsidR="006359FF" w:rsidRPr="006359FF">
        <w:rPr>
          <w:i/>
        </w:rPr>
        <w:t>a</w:t>
      </w:r>
      <w:r w:rsidR="006C5D12" w:rsidRPr="006359FF">
        <w:rPr>
          <w:i/>
        </w:rPr>
        <w:t>corus</w:t>
      </w:r>
      <w:r w:rsidR="006C5D12" w:rsidRPr="006359FF">
        <w:t>)</w:t>
      </w:r>
      <w:r w:rsidR="00E214AF" w:rsidRPr="006359FF">
        <w:t xml:space="preserve">) </w:t>
      </w:r>
      <w:r w:rsidR="00757A6B" w:rsidRPr="006359FF">
        <w:t>were</w:t>
      </w:r>
      <w:r w:rsidR="00FF7138" w:rsidRPr="006359FF">
        <w:t xml:space="preserve"> </w:t>
      </w:r>
      <w:r w:rsidR="00FF7138" w:rsidRPr="006359FF">
        <w:rPr>
          <w:u w:val="single"/>
        </w:rPr>
        <w:t>&lt;</w:t>
      </w:r>
      <w:r w:rsidR="00FF7138" w:rsidRPr="006359FF">
        <w:t xml:space="preserve"> 25% mean </w:t>
      </w:r>
      <w:r w:rsidR="00757A6B" w:rsidRPr="006359FF">
        <w:t xml:space="preserve">plot cover in </w:t>
      </w:r>
      <w:r w:rsidR="00FF7138" w:rsidRPr="006359FF">
        <w:t>2019,</w:t>
      </w:r>
      <w:r w:rsidR="00757A6B" w:rsidRPr="006359FF">
        <w:t xml:space="preserve"> however</w:t>
      </w:r>
      <w:r w:rsidR="00FF7138" w:rsidRPr="006359FF">
        <w:t xml:space="preserve"> these species are notorious for quickly spreading to the point of near-exclusion of other species (especially natives) </w:t>
      </w:r>
      <w:r w:rsidR="00FF7138" w:rsidRPr="006359FF">
        <w:fldChar w:fldCharType="begin"/>
      </w:r>
      <w:r w:rsidR="00FF7138" w:rsidRPr="006359FF">
        <w:instrText xml:space="preserve"> ADDIN ZOTERO_ITEM CSL_CITATION {"citationID":"O2bSDqSM","properties":{"formattedCitation":"(Apfelbaum &amp; Sams, 1987; Sinks et al., 2021)","plainCitation":"(Apfelbaum &amp; Sams, 1987; Sinks et al., 2021)","noteIndex":0},"citationItems":[{"id":2514,"uris":["http://zotero.org/users/6092945/items/X7TP8YFS"],"itemData":{"id":2514,"type":"article-journal","container-title":"Natural Areas Journal","issue":"2","language":"en","page":"69-74","source":"Zotero","title":"Ecology and Control of Reed Canary Grass (Phalaris arundinacea L.)","volume":"7","author":[{"family":"Apfelbaum","given":"Stephen I"},{"family":"Sams","given":"Charles E"}],"issued":{"date-parts":[["1987"]]}},"label":"act"},{"id":2371,"uris":["http://zotero.org/users/6092945/items/2KQ4T5YR"],"itemData":{"id":2371,"type":"article-journal","abstract":"Reed canarygrass (Phalaris arundinacea) is invasive in temperate freshwater wetlands throughout the United States and Canada and presents challenges to restoring tidal freshwater wetlands. Methods for the prevention or elimination of reed canarygrass in palustrine wetlands are generally well established, typically involving herbicide application, mechanical treatments, prolonged inundation, or establishment of competitive plant species. These methods are often not suitable for the unique conditions in tidal wetlands and alternative strategies remain poorly understood. Prolonging inundation of tidal wetlands requires a loss of habitat forming processes, connectivity, and other functions. Treatments such as mowing, discing, or fire are not feasible in the perpetually wet conditions of tidal wetlands. Restoration practitioners aiming to design self-sustaining wetlands in the lower Columbia River estuary and the U.S. Pacific Coast have found that reed canarygrass is widespread and quick to establish post-restoration creating a management burden and impacting restoration goals. Here we report the results of a comprehensive effort to develop methods for control in tidal wetlands through systematic review of the scientific literature, interviews with experienced practitioners, and field observations at nine Pacific Northwest sites. The review framework evaluated key environmental conditions affecting reed canarygrass, control methods, and practical considerations. Findings support an integrated long-term control strategy at the largest possible scale to establish effective and self-sustaining control. Appropriate and practical strategies for tidal freshwater wetlands include implementing control pre-restoration to suppress existing populations; topographic modification such as scrape-downs and mounds to support competitiveness of desired vegetation communities; seeding or planting strong native competitors; limiting nutrient availability; and periodic, targeted control to limit reinvasion. These strategies are supported by the study, but long-term results are generally not available. Formal field experiments are recommended by the authors to better evaluate factors that influence reed canarygrass control in tidal freshwater wetlands.","container-title":"Natural Areas Journal","DOI":"10.3375/043.041.0303","ISSN":"0885-8608, 2162-4399","issue":"3","journalAbbreviation":"naar","note":"publisher: Natural Areas Association","page":"172-185","source":"bioone.org","title":"Assessment of Methods to Control Invasive Reed Canarygrass (Phalaris arundinacea) in Tidal Freshwater Wetlands","volume":"41","author":[{"family":"Sinks","given":"Ian A."},{"family":"Borde","given":"Amy B."},{"family":"Diefenderfer","given":"Heida L."},{"family":"Karnezis","given":"Jason P."}],"issued":{"date-parts":[["2021",8]]}},"label":"act"}],"schema":"https://github.com/citation-style-language/schema/raw/master/csl-citation.json"} </w:instrText>
      </w:r>
      <w:r w:rsidR="00FF7138" w:rsidRPr="006359FF">
        <w:fldChar w:fldCharType="separate"/>
      </w:r>
      <w:r w:rsidR="00FF7138" w:rsidRPr="006359FF">
        <w:rPr>
          <w:rFonts w:ascii="Calibri" w:hAnsi="Calibri" w:cs="Calibri"/>
        </w:rPr>
        <w:t>(</w:t>
      </w:r>
      <w:proofErr w:type="spellStart"/>
      <w:r w:rsidR="00FF7138" w:rsidRPr="006359FF">
        <w:rPr>
          <w:rFonts w:ascii="Calibri" w:hAnsi="Calibri" w:cs="Calibri"/>
        </w:rPr>
        <w:t>Apfelbaum</w:t>
      </w:r>
      <w:proofErr w:type="spellEnd"/>
      <w:r w:rsidR="00FF7138" w:rsidRPr="006359FF">
        <w:rPr>
          <w:rFonts w:ascii="Calibri" w:hAnsi="Calibri" w:cs="Calibri"/>
        </w:rPr>
        <w:t xml:space="preserve"> &amp; </w:t>
      </w:r>
      <w:proofErr w:type="spellStart"/>
      <w:r w:rsidR="00FF7138" w:rsidRPr="006359FF">
        <w:rPr>
          <w:rFonts w:ascii="Calibri" w:hAnsi="Calibri" w:cs="Calibri"/>
        </w:rPr>
        <w:t>Sams</w:t>
      </w:r>
      <w:proofErr w:type="spellEnd"/>
      <w:r w:rsidR="00FF7138" w:rsidRPr="006359FF">
        <w:rPr>
          <w:rFonts w:ascii="Calibri" w:hAnsi="Calibri" w:cs="Calibri"/>
        </w:rPr>
        <w:t>, 1987; Sinks et al., 2021)</w:t>
      </w:r>
      <w:r w:rsidR="00FF7138" w:rsidRPr="006359FF">
        <w:fldChar w:fldCharType="end"/>
      </w:r>
      <w:r w:rsidR="00FF7138" w:rsidRPr="006359FF">
        <w:t xml:space="preserve">. </w:t>
      </w:r>
    </w:p>
    <w:p w14:paraId="5375DA4D" w14:textId="7B980D88" w:rsidR="00856B3A" w:rsidRDefault="00645E67" w:rsidP="006C7658">
      <w:pPr>
        <w:ind w:firstLine="720"/>
      </w:pPr>
      <w:r>
        <w:t xml:space="preserve">Loss of sediment within </w:t>
      </w:r>
      <w:r w:rsidR="007736AD">
        <w:t xml:space="preserve">estuaries </w:t>
      </w:r>
      <w:r w:rsidR="00467553">
        <w:t>including</w:t>
      </w:r>
      <w:r w:rsidR="007736AD">
        <w:t xml:space="preserve"> </w:t>
      </w:r>
      <w:r>
        <w:t xml:space="preserve">the Fraser River </w:t>
      </w:r>
      <w:r w:rsidR="00467553">
        <w:t>Estuary</w:t>
      </w:r>
      <w:r>
        <w:t xml:space="preserve"> is driven by a combination of factors, such as increased impervious cover, bank </w:t>
      </w:r>
      <w:proofErr w:type="spellStart"/>
      <w:r>
        <w:t>dyking</w:t>
      </w:r>
      <w:proofErr w:type="spellEnd"/>
      <w:r>
        <w:t xml:space="preserve"> or armoring, and channel dredging </w:t>
      </w:r>
      <w:r>
        <w:fldChar w:fldCharType="begin"/>
      </w:r>
      <w:r>
        <w:instrText xml:space="preserve"> ADDIN ZOTERO_ITEM CSL_CITATION {"citationID":"DHpdUV8W","properties":{"formattedCitation":"(Atkins et al., 2016)","plainCitation":"(Atkins et al., 2016)","noteIndex":0},"citationItems":[{"id":2597,"uris":["http://zotero.org/users/6092945/items/CCL5N5AY"],"itemData":{"id":2597,"type":"article-journal","abstract":"The Fraser River Delta in south western British Columbia, Canada, is a relatively recent geologic feature being only approximately 10,000 years old. The delta environment, and the intertidal banks, are the cumulative effect of flood and sediment discharges over the post-glacial interval. The salt marsh of Sturgeon Bank, on the northwest side of the delta, has been identified as under threat from erosion. The occurrence, cause and extent of erosion have been a subject of speculation, investigation and conclusion for several decades; however, dissenting opinions on the persistence of erosion over the last fifty years are numerous. To explore potential causes of the erosion further, publically available historical datasets of natural phenomena were re-examined relative to records of human activities to enable development of a conceptual model. Historical datasets of natural phenomena included sedimentary geology, post-glacial history, bathymetry, flood discharge records, sediment discharge/basin sediment yield, sediment grain size data, wind-waves, and tides. Human activity, stretching back to the late 1800's, included navigation dredging, aggregate resource dredging, river training, river diversion, flood protection dyking, land-use changes, and ongoing habitat management activities. From this review, a conceptual model of physical constraints on deltaic environments was developed. The various phenomena are discussed, the integration of those phenomena as processes affecting deltaic habitat explored, and potential management strategies identified to address the sedimentary consequences of the last 150 years of human influence on the salt marshes of Sturgeon Bank.","container-title":"Journal of Coastal Research","DOI":"https://doi.org/10.2112/SI75-159.1","ISSN":"07490208","issue":"75","language":"English","license":"Copyright Allen Press Publishing Services 2016","note":"number-of-pages: 5\npublisher-place: Fort Lauderdale, United Kingdom\npublisher: Allen Press Publishing Services","page":"790-794","source":"ProQuest","title":"Sturgeon Bank, Fraser River Delta, BC, Canada: 150 Years of Human Influences on Salt Marsh Sedimentation","title-short":"Sturgeon Bank, Fraser River Delta, BC, Canada","volume":"SI","author":[{"family":"Atkins","given":"Rowland J."},{"family":"Tidd","given":"Morgan"},{"family":"Ruffo","given":"Gord"}],"issued":{"date-parts":[["2016"]]}}}],"schema":"https://github.com/citation-style-language/schema/raw/master/csl-citation.json"} </w:instrText>
      </w:r>
      <w:r>
        <w:fldChar w:fldCharType="separate"/>
      </w:r>
      <w:r w:rsidRPr="002016AE">
        <w:rPr>
          <w:rFonts w:ascii="Calibri" w:hAnsi="Calibri" w:cs="Calibri"/>
        </w:rPr>
        <w:t>(Atkins et al., 2016)</w:t>
      </w:r>
      <w:r>
        <w:fldChar w:fldCharType="end"/>
      </w:r>
      <w:r>
        <w:t xml:space="preserve">. Sedimentary </w:t>
      </w:r>
      <w:r w:rsidR="00C3213B">
        <w:t>changes</w:t>
      </w:r>
      <w:r>
        <w:t xml:space="preserve"> such as sediment starvation or subsidence would result in more saturated areas, which would likely drive the increased prevalence of Bogbean assemblage </w:t>
      </w:r>
      <w:r>
        <w:fldChar w:fldCharType="begin"/>
      </w:r>
      <w:r>
        <w:instrText xml:space="preserve"> ADDIN ZOTERO_ITEM CSL_CITATION {"citationID":"nblPcoJs","properties":{"formattedCitation":"(Mendelssohn &amp; Kuhn, 2003)","plainCitation":"(Mendelssohn &amp; Kuhn, 2003)","noteIndex":0},"citationItems":[{"id":2586,"uris":["http://zotero.org/users/6092945/items/XWSKQ5BS"],"itemData":{"id":2586,"type":"article-journal","abstract":"The tidal energy subsidy hypothesis postulates that the high primary productivity of coastal salt marshes is the result of an energy subsidy provided by the tides. The sediment component of this subsidy is especially important in contributing to the elevation increase of the marsh surface, a process essential for the sustainability of salt marshes during periods of sea level rise. This research tested the hypothesis that sediment subsidies have an ameliorating effect on sea level rise-induced impacts to salt marsh vigor. We assessed the plant structural and soil physico-chemical responses to different intensities of sediment subsidy in a salt marsh experiencing a high rate of relative sea level rise. Sediments were hydraulically dredged with a high fluid to solids ratio (85%:15%) from the Gulf of Mexico and dispersed into a Spartina alterniflora dominated salt marsh. Approximately 2 years after this fluid-sediment-enrichment, maximum sediment elevation did not exceed 30cm above ambient and both plant cover and aboveground biomass responded positively. Sediment subsidy increased soil mineral matter, and, in turn, soil fertility and marsh elevation, and thereby reduced nutrient deficiency, flooding, and interstitial sulfide stresses. Thus, sediment subsidy generated a more favorable environment for plant growth and potentially, marsh sustainability.","container-title":"Ecological Engineering","DOI":"10.1016/j.ecoleng.2003.09.006","ISSN":"0925-8574","issue":"2","journalAbbreviation":"Ecological Engineering","language":"en","page":"115-128","source":"ScienceDirect","title":"Sediment subsidy: effects on soil–plant responses in a rapidly submerging coastal salt marsh","title-short":"Sediment subsidy","volume":"21","author":[{"family":"Mendelssohn","given":"Irving A"},{"family":"Kuhn","given":"Nathan L"}],"issued":{"date-parts":[["2003",12,1]]}}}],"schema":"https://github.com/citation-style-language/schema/raw/master/csl-citation.json"} </w:instrText>
      </w:r>
      <w:r>
        <w:fldChar w:fldCharType="separate"/>
      </w:r>
      <w:r w:rsidRPr="00997BA4">
        <w:rPr>
          <w:rFonts w:ascii="Calibri" w:hAnsi="Calibri" w:cs="Calibri"/>
        </w:rPr>
        <w:t>(Mendelssohn &amp; Kuhn, 2003)</w:t>
      </w:r>
      <w:r>
        <w:fldChar w:fldCharType="end"/>
      </w:r>
      <w:r>
        <w:t xml:space="preserve">. </w:t>
      </w:r>
      <w:r w:rsidR="00467553">
        <w:t>Alternatively</w:t>
      </w:r>
      <w:r>
        <w:t>,</w:t>
      </w:r>
      <w:r w:rsidRPr="00CC6258">
        <w:t xml:space="preserve"> </w:t>
      </w:r>
      <w:r>
        <w:t xml:space="preserve">positive feedbacks between vegetation and sedimentation could support areas of marsh accretion </w:t>
      </w:r>
      <w:r>
        <w:fldChar w:fldCharType="begin"/>
      </w:r>
      <w:r>
        <w:instrText xml:space="preserve"> ADDIN ZOTERO_ITEM CSL_CITATION {"citationID":"zjIe5dBQ","properties":{"formattedCitation":"(Nyman et al., 2006)","plainCitation":"(Nyman et al., 2006)","noteIndex":0},"citationItems":[{"id":2590,"uris":["http://zotero.org/users/6092945/items/M559YY8K"],"itemData":{"id":2590,"type":"article-journal","abstract":"Coastal marshes accrete vertically in response to sea-level rise and subsidence. Inadequate accretion and subsequent conversion of coastal marshes to open water generally is attributed to inadequate mineral sedimentation because mineral sedimentation is widely assumed to control accretion. Using 137Cs dating to determine vertical accretion, mineral sedimentation, and organic matter accumulation, we found that accretion varied with organic accumulation rather than mineral sedimentation across a wide range of conditions in coastal Louisiana, including stable marshes where soil was 80% mineral matter. These results agreed with previous research, but no mechanism had been proposed to explain accretion via vegetative growth. In an exploratory greenhouse experiment, we found that flooding stimulated root growth above the marsh surface. These results indicated the need for additional work to determine if flooding controls accretion in some marshes by stimulating root growth on the marsh surface, rather than by mineral accumulation on the marsh surface. Restoration or management that focus on mineral sedimentation may be ineffective where a relationship between accretion and mineral sedimentation is assumed rather than tested.","collection-title":"Salt Marsh Geomorphology: Physical and ecological effects on landform","container-title":"Estuarine, Coastal and Shelf Science","DOI":"10.1016/j.ecss.2006.05.041","ISSN":"0272-7714","issue":"3","journalAbbreviation":"Estuarine, Coastal and Shelf Science","language":"en","page":"370-380","source":"ScienceDirect","title":"Marsh vertical accretion via vegetative growth","volume":"69","author":[{"family":"Nyman","given":"John A."},{"family":"Walters","given":"Russel J."},{"family":"Delaune","given":"Ronald D."},{"family":"Patrick","given":"William H."}],"issued":{"date-parts":[["2006",9,1]]}}}],"schema":"https://github.com/citation-style-language/schema/raw/master/csl-citation.json"} </w:instrText>
      </w:r>
      <w:r>
        <w:fldChar w:fldCharType="separate"/>
      </w:r>
      <w:r w:rsidRPr="00AD296F">
        <w:rPr>
          <w:rFonts w:ascii="Calibri" w:hAnsi="Calibri" w:cs="Calibri"/>
        </w:rPr>
        <w:t>(Nyman et al., 2006)</w:t>
      </w:r>
      <w:r>
        <w:fldChar w:fldCharType="end"/>
      </w:r>
      <w:r>
        <w:t xml:space="preserve">, which may also be more likely to receive exotic propagules within the distributed sediment. </w:t>
      </w:r>
      <w:r w:rsidR="00995563">
        <w:t xml:space="preserve">Whether or not seed propagules are present would depend on local and regional propagule pools. </w:t>
      </w:r>
      <w:r w:rsidR="00B12DF8" w:rsidRPr="00B12DF8">
        <w:t>If</w:t>
      </w:r>
      <w:r w:rsidR="00B12DF8">
        <w:t xml:space="preserve"> similar habitats within the estuarine ecosystem are lost to the point where distance between patches exceeds propagule dispersal distance </w:t>
      </w:r>
      <w:r w:rsidR="00B12DF8">
        <w:fldChar w:fldCharType="begin"/>
      </w:r>
      <w:r w:rsidR="002016AE">
        <w:instrText xml:space="preserve"> ADDIN ZOTERO_ITEM CSL_CITATION {"citationID":"AehiFwRj","properties":{"formattedCitation":"(Shi, Shao, Gualtieri, Purnama, &amp; Cui, 2020)","plainCitation":"(Shi, Shao, Gualtieri, Purnama, &amp; Cui, 2020)","dontUpdate":true,"noteIndex":0},"citationItems":[{"id":1291,"uris":["http://zotero.org/users/6092945/items/7352ESPA"],"itemData":{"id":1291,"type":"article-journal","abstract":"Seed dispersal is a primary factor influencing plant community development in salt-marshes. However, studies on seed dispersal in marsh-channel system are relatively scarce, and relevant mathematical modelling is particularly lacking. In this study, we developed a one-dimensional advection–dispersion model to explore the patterns of long-distance floating seed dispersal in tidal channels. Oscillatory tidal current velocity and water depth were assumed to represent the tidal effects. An exponential decay coefficient was introduced to account for the loss of floating seeds due to water-logged deposition and retention by trapping agents along the channel banks. An analytical solution in integral form was derived using the method of Green's function. The developed model was applied to simulate floating Spartina densiflora seed dispersal in a real tidal channel. Seed floating duration and seed collection data reported in the literature were used for model calibration and validation. The leptokurtic seed dispersal kernel in the marsh-channel system was quantified for the first time using the predicted spatio-temporal distribution of deposited and retained seeds. The range of the long-distance floating seed dispersal and its distribution concentration that have important implications for salt marsh protection and restoration activities were evaluated through statistical parameters such as the centroid displacement and the variance of the floating seed cloud and floating seed concentration contours. The developed model provides a useful tool for ecological management of tidal marshes, as data on the long-distance floating seed dispersal are rarely available and hard to gather.","container-title":"Ecohydrology","DOI":"https://doi.org/10.1002/eco.2157","ISSN":"1936-0592","issue":"1","language":"en","license":"© 2019 John Wiley &amp; Sons, Ltd.","page":"e2157","source":"Wiley Online Library","title":"Modelling long-distance floating seed dispersal in salt marsh tidal channels","volume":"13","author":[{"family":"Shi","given":"Wei"},{"family":"Shao","given":"Dongdong"},{"family":"Gualtieri","given":"Carlo"},{"family":"Purnama","given":"Anton"},{"family":"Cui","given":"Baoshan"}],"issued":{"date-parts":[["2020"]]}}}],"schema":"https://github.com/citation-style-language/schema/raw/master/csl-citation.json"} </w:instrText>
      </w:r>
      <w:r w:rsidR="00B12DF8">
        <w:fldChar w:fldCharType="separate"/>
      </w:r>
      <w:r w:rsidR="00B12DF8" w:rsidRPr="00EC470A">
        <w:rPr>
          <w:rFonts w:ascii="Calibri" w:hAnsi="Calibri" w:cs="Calibri"/>
        </w:rPr>
        <w:t xml:space="preserve">(Shi, </w:t>
      </w:r>
      <w:r w:rsidR="00B12DF8">
        <w:rPr>
          <w:rFonts w:ascii="Calibri" w:hAnsi="Calibri" w:cs="Calibri"/>
        </w:rPr>
        <w:t>et al.</w:t>
      </w:r>
      <w:r w:rsidR="00B12DF8" w:rsidRPr="00EC470A">
        <w:rPr>
          <w:rFonts w:ascii="Calibri" w:hAnsi="Calibri" w:cs="Calibri"/>
        </w:rPr>
        <w:t>, 2020)</w:t>
      </w:r>
      <w:r w:rsidR="00B12DF8">
        <w:fldChar w:fldCharType="end"/>
      </w:r>
      <w:r w:rsidR="00B12DF8">
        <w:t>, then species colonization within the ecosystem is rare or lost. Similarly, if exotic species are more prevalent throughout the regional dispersal network, then there is a greater chance of exotic species introduction over native within a local marsh community.</w:t>
      </w:r>
      <w:r w:rsidR="006260B5">
        <w:t xml:space="preserve"> </w:t>
      </w:r>
      <w:r w:rsidR="00A87E7B">
        <w:t>A</w:t>
      </w:r>
      <w:r w:rsidR="00B12DF8">
        <w:t xml:space="preserve">biotic shifts may be altering the seed recruitment niches to favor exotics and limit native species recruitment </w:t>
      </w:r>
      <w:r w:rsidR="00B12DF8">
        <w:fldChar w:fldCharType="begin"/>
      </w:r>
      <w:r w:rsidR="00B12DF8">
        <w:instrText xml:space="preserve"> ADDIN ZOTERO_ITEM CSL_CITATION {"citationID":"sq1KXjqr","properties":{"formattedCitation":"(S. L. Lane, 2022)","plainCitation":"(S. L. Lane, 2022)","dontUpdate":true,"noteIndex":0},"citationItems":[{"id":2671,"uris":["http://zotero.org/users/6092945/items/XFPV62BJ"],"itemData":{"id":2671,"type":"article-journal","abstract":"Premise Seed recruitment niches along estuarine elevation gradients are seldom experimentally field-tested under tidal regimes of the Pacific Northwest of North America. Addressing this knowledge gap is important to better understand estuary restoration and plant community response to sea level rise. Methods Germination was tested in marsh organ mesocosms across an elevation gradient (0.5–1.7 m above mean sea level). Seeds were sown on sterile peat moss, and the tops of pipes were secured with horticultural “frost cloth” to ensure no experimental seeds were washed out and no new seeds were introduced. The trials tested artificial and overwinter chilling regimes, as well as the presence and/or absence of a near-neighbor transplant. Results Carex lyngbyei had significant elevation-driven germination after overwinter and artificial chilling. Schoenoplectus tabernaemontani had near-significant germination across elevation after overwinter chilling, and germination in the absence of competition was significantly greater than with a near-neighbor transplant. Discussion Carex lyngbyei had the highest germination rate at higher elevations, which suggests restricted seed recruitment potential and required clonal expansion to extend into lower marsh elevations. Identifying species-specific recruitment niches provides insight for restoration opportunities or invasive species monitoring, as well as for estuary migration under sea level rise.","container-title":"Applications in Plant Sciences","DOI":"10.1002/aps3.11474","ISSN":"2168-0450","issue":"n/a","language":"en","note":"_eprint: https://onlinelibrary.wiley.com/doi/pdf/10.1002/aps3.11474","page":"e11474","source":"Wiley Online Library","title":"Using marsh organs to test seed recruitment in tidal freshwater marshes","author":[{"family":"Lane","given":"Stefanie L."}],"issued":{"date-parts":[["2022"]]}}}],"schema":"https://github.com/citation-style-language/schema/raw/master/csl-citation.json"} </w:instrText>
      </w:r>
      <w:r w:rsidR="00B12DF8">
        <w:fldChar w:fldCharType="separate"/>
      </w:r>
      <w:r w:rsidR="00B12DF8" w:rsidRPr="000D3AD7">
        <w:rPr>
          <w:rFonts w:ascii="Calibri" w:hAnsi="Calibri" w:cs="Calibri"/>
        </w:rPr>
        <w:t>(Lane, 2022)</w:t>
      </w:r>
      <w:r w:rsidR="00B12DF8">
        <w:fldChar w:fldCharType="end"/>
      </w:r>
      <w:r w:rsidR="006260B5">
        <w:t>, while dispersal networks may be delivering disproportionately more exotic species seed</w:t>
      </w:r>
      <w:r w:rsidR="00B12DF8">
        <w:t>. This reflects a general trend of exotic species’ competitive advantage in disturbed systems, and represents ongoing press disturbance by anthropogenic impacts with cumulative ecosystem effects.</w:t>
      </w:r>
      <w:r w:rsidR="009A7644">
        <w:t xml:space="preserve"> </w:t>
      </w:r>
    </w:p>
    <w:p w14:paraId="3980284F" w14:textId="160476A0" w:rsidR="00BC6239" w:rsidRPr="002275CC" w:rsidRDefault="00DE4A1C" w:rsidP="00FA1433">
      <w:pPr>
        <w:pStyle w:val="Heading2"/>
      </w:pPr>
      <w:r>
        <w:t>Synthesis &amp; Recommendations</w:t>
      </w:r>
    </w:p>
    <w:p w14:paraId="14C33FD8" w14:textId="193904F6" w:rsidR="00B40088" w:rsidRPr="002C5261" w:rsidRDefault="005829BB" w:rsidP="00DE4A1C">
      <w:pPr>
        <w:ind w:firstLine="720"/>
      </w:pPr>
      <w:r>
        <w:t>S</w:t>
      </w:r>
      <w:r w:rsidR="00837BA2">
        <w:t>pecies</w:t>
      </w:r>
      <w:r w:rsidR="00757A6B" w:rsidRPr="00757A6B">
        <w:t xml:space="preserve"> invasion and native species loss may </w:t>
      </w:r>
      <w:r w:rsidR="000205E1">
        <w:t>increase</w:t>
      </w:r>
      <w:r w:rsidR="00837BA2">
        <w:t xml:space="preserve"> ecosystem </w:t>
      </w:r>
      <w:r w:rsidR="00757A6B" w:rsidRPr="00757A6B">
        <w:t xml:space="preserve">instability through fragmented or lost propagule dispersal networks, and </w:t>
      </w:r>
      <w:r w:rsidR="00770096">
        <w:t>result in</w:t>
      </w:r>
      <w:r w:rsidR="00F81A48">
        <w:t xml:space="preserve"> </w:t>
      </w:r>
      <w:r w:rsidR="00757A6B" w:rsidRPr="00757A6B">
        <w:t>altered trophic cascades such as pollinator networks or primary productio</w:t>
      </w:r>
      <w:r>
        <w:t xml:space="preserve">n. </w:t>
      </w:r>
      <w:r w:rsidR="000205E1">
        <w:t>These</w:t>
      </w:r>
      <w:r>
        <w:t xml:space="preserve"> changes </w:t>
      </w:r>
      <w:r w:rsidR="00461EA2">
        <w:t xml:space="preserve">will have implications for endangered species, such as </w:t>
      </w:r>
      <w:r w:rsidR="002C5261">
        <w:rPr>
          <w:i/>
        </w:rPr>
        <w:t>Sidalcea hendersonii</w:t>
      </w:r>
      <w:r w:rsidR="002C5261">
        <w:t>, a species of special concern</w:t>
      </w:r>
      <w:r w:rsidR="00770096">
        <w:t xml:space="preserve"> </w:t>
      </w:r>
      <w:r w:rsidR="002C5261">
        <w:t xml:space="preserve">under the Canadian Species at Risk Act </w:t>
      </w:r>
      <w:r w:rsidR="00461EA2">
        <w:t xml:space="preserve">found in Ladner Marsh. </w:t>
      </w:r>
      <w:r w:rsidR="002C5261">
        <w:t>It is difficult to say whether abiotic conditions or encroaching exotic species such as RCG</w:t>
      </w:r>
      <w:r w:rsidR="00941A69">
        <w:t xml:space="preserve"> </w:t>
      </w:r>
      <w:r w:rsidR="002C5261">
        <w:t xml:space="preserve">were responsible for </w:t>
      </w:r>
      <w:r w:rsidR="00B40088">
        <w:t xml:space="preserve">its shift in greatest cover abundance </w:t>
      </w:r>
      <w:r w:rsidR="00B40088">
        <w:t>from the Fescue (1979) to Sedge (2019)</w:t>
      </w:r>
      <w:r w:rsidR="00B40088">
        <w:t xml:space="preserve"> assemblage. </w:t>
      </w:r>
      <w:r w:rsidR="00B40088">
        <w:t>Disentangling explicit impacts of sedimentary</w:t>
      </w:r>
      <w:r w:rsidR="0033448D">
        <w:t xml:space="preserve">, </w:t>
      </w:r>
      <w:r w:rsidR="00B40088">
        <w:t>dispersal</w:t>
      </w:r>
      <w:r w:rsidR="0033448D">
        <w:t>, or recruitment</w:t>
      </w:r>
      <w:r w:rsidR="00B40088">
        <w:t xml:space="preserve"> processes would be no easy task, however experimentally testing effects of sediment loading on species-specific clonal or seed propagule recruitment could prove valuable for understanding best practices to </w:t>
      </w:r>
      <w:r w:rsidR="0087124F">
        <w:t xml:space="preserve">maintain </w:t>
      </w:r>
      <w:r w:rsidR="008F17F5">
        <w:t xml:space="preserve">populations </w:t>
      </w:r>
      <w:r w:rsidR="00C3150E">
        <w:t xml:space="preserve">or </w:t>
      </w:r>
      <w:r w:rsidR="00DE4A1C">
        <w:t xml:space="preserve">community </w:t>
      </w:r>
      <w:r w:rsidR="008F17F5">
        <w:t>function</w:t>
      </w:r>
      <w:r w:rsidR="00B40088">
        <w:t xml:space="preserve">. </w:t>
      </w:r>
    </w:p>
    <w:p w14:paraId="48FD79D3" w14:textId="769FB651" w:rsidR="00BC6239" w:rsidRDefault="00BC6239" w:rsidP="009A6A34">
      <w:pPr>
        <w:ind w:firstLine="720"/>
      </w:pPr>
      <w:r>
        <w:t xml:space="preserve">Despite our knowledge to the contrary, practitioners often erroneously assume no direct anthropogenic disturbance suffices to conserve an ecologically appropriate reference state </w:t>
      </w:r>
      <w:r>
        <w:fldChar w:fldCharType="begin"/>
      </w:r>
      <w:r w:rsidR="002016AE">
        <w:instrText xml:space="preserve"> ADDIN ZOTERO_ITEM CSL_CITATION {"citationID":"VNaIJc7D","properties":{"formattedCitation":"(Stoddard, Larsen, Hawkins, Johnson, &amp; Norris, 2006)","plainCitation":"(Stoddard, Larsen, Hawkins, Johnson, &amp; Norris, 2006)","dontUpdate":true,"noteIndex":0},"citationItems":[{"id":2674,"uris":["http://zotero.org/users/6092945/items/LUN76VCV"],"itemData":{"id":2674,"type":"article-journal","abstract":"An important component of the biological assessment of stream condition is an evaluation of the direct or indirect effects of human activities or disturbances. The concept of a “reference condition” is increasingly used to describe the standard or benchmark against which current condition is compared. Many individual nations, and the European Union as a whole, have codified the concept of reference condition in legislation aimed at protecting and improving the ecological condition of streams. However, the phrase “reference condition” has many meanings in a variety of contexts. One of the primary purposes of this paper is to bring some consistency to the use of the term. We argue the need for a “reference condition” term that is reserved for referring to the “naturalness” of the biota (structure and function) and that naturalness implies the absence of significant human disturbance or alteration. To avoid the confusion that arises when alternative definitions of reference condition are used, we propose that the original concept of reference condition be preserved in this modified form of the term: “reference condition for biological integrity,” or RC(BI). We further urge that these specific terms be used to refer to the concepts and methods used in individual bioassessments to characterize the expected condition to which current conditions are compared: “minimally disturbed condition” (MDC); “historical condition” (HC); “least disturbed condition” (LDC); and “best attainable condition” (BAC). We argue that each of these concepts can be narrowly defined, and each implies specific methods for estimating expectations. We also describe current methods by which these expectations are estimated including: the reference-site approach (condition at minimally or least-disturbed sites); best professional judgment; interpretation of historical condition; extrapolation of empirical models; and evaluation of ambient distributions. Because different assumptions about what constitutes reference condition will have important effects on the final classification of streams into condition classes, we urge that bioassessments be consistent in describing the definitions and methods used to set expectations.","container-title":"Ecological Applications","DOI":"10.1890/1051-0761(2006)016[1267:SEFTEC]2.0.CO;2","ISSN":"1939-5582","issue":"4","language":"en","note":"_eprint: https://onlinelibrary.wiley.com/doi/pdf/10.1890/1051-0761%282006%29016%5B1267%3ASEFTEC%5D2.0.CO%3B2","page":"1267-1276","source":"Wiley Online Library","title":"Setting Expectations for the Ecological Condition of Streams: The Concept of Reference Condition","title-short":"Setting Expectations for the Ecological Condition of Streams","volume":"16","author":[{"family":"Stoddard","given":"John L."},{"family":"Larsen","given":"David P."},{"family":"Hawkins","given":"Charles P."},{"family":"Johnson","given":"Richard K."},{"family":"Norris","given":"Richard H."}],"issued":{"date-parts":[["2006"]]}}}],"schema":"https://github.com/citation-style-language/schema/raw/master/csl-citation.json"} </w:instrText>
      </w:r>
      <w:r>
        <w:fldChar w:fldCharType="separate"/>
      </w:r>
      <w:r w:rsidRPr="00D04961">
        <w:rPr>
          <w:rFonts w:ascii="Calibri" w:hAnsi="Calibri" w:cs="Calibri"/>
        </w:rPr>
        <w:t>(</w:t>
      </w:r>
      <w:r>
        <w:rPr>
          <w:rFonts w:ascii="Calibri" w:hAnsi="Calibri" w:cs="Calibri"/>
        </w:rPr>
        <w:t xml:space="preserve">e.g., </w:t>
      </w:r>
      <w:r w:rsidRPr="00D04961">
        <w:rPr>
          <w:rFonts w:ascii="Calibri" w:hAnsi="Calibri" w:cs="Calibri"/>
        </w:rPr>
        <w:t xml:space="preserve">Stoddard, </w:t>
      </w:r>
      <w:r>
        <w:rPr>
          <w:rFonts w:ascii="Calibri" w:hAnsi="Calibri" w:cs="Calibri"/>
        </w:rPr>
        <w:t>et al.</w:t>
      </w:r>
      <w:r w:rsidRPr="00D04961">
        <w:rPr>
          <w:rFonts w:ascii="Calibri" w:hAnsi="Calibri" w:cs="Calibri"/>
        </w:rPr>
        <w:t>, 2006</w:t>
      </w:r>
      <w:r>
        <w:rPr>
          <w:rFonts w:ascii="Calibri" w:hAnsi="Calibri" w:cs="Calibri"/>
        </w:rPr>
        <w:t>, and citations therein</w:t>
      </w:r>
      <w:r w:rsidRPr="00D04961">
        <w:rPr>
          <w:rFonts w:ascii="Calibri" w:hAnsi="Calibri" w:cs="Calibri"/>
        </w:rPr>
        <w:t>)</w:t>
      </w:r>
      <w:r>
        <w:fldChar w:fldCharType="end"/>
      </w:r>
      <w:r>
        <w:t>.</w:t>
      </w:r>
      <w:r w:rsidR="00D17665">
        <w:t xml:space="preserve"> </w:t>
      </w:r>
      <w:r w:rsidR="0090110E">
        <w:t>These findings yet again confirm that contemporary “reference” sites are not sufficient benchmarks for restoration success</w:t>
      </w:r>
      <w:r w:rsidR="0090110E">
        <w:rPr>
          <w:rFonts w:ascii="Calibri" w:hAnsi="Calibri" w:cs="Calibri"/>
        </w:rPr>
        <w:t xml:space="preserve"> </w:t>
      </w:r>
      <w:r w:rsidR="0090110E">
        <w:rPr>
          <w:rFonts w:ascii="Calibri" w:hAnsi="Calibri" w:cs="Calibri"/>
        </w:rPr>
        <w:fldChar w:fldCharType="begin"/>
      </w:r>
      <w:r w:rsidR="0090110E">
        <w:rPr>
          <w:rFonts w:ascii="Calibri" w:hAnsi="Calibri" w:cs="Calibri"/>
        </w:rPr>
        <w:instrText xml:space="preserve"> ADDIN ZOTERO_ITEM CSL_CITATION {"citationID":"WZOHJs2F","properties":{"formattedCitation":"(Shackelford, Dudney, Stueber, Temperton, &amp; Suding, 2021)","plainCitation":"(Shackelford, Dudney, Stueber, Temperton, &amp; Suding, 2021)","dontUpdate":true,"noteIndex":0},"citationItems":[{"id":2638,"uris":["http://zotero.org/users/6092945/items/HLB6X43B"],"itemData":{"id":2638,"type":"article-journal","abstract":"Restoration has long used the reference concept as a cornerstone in setting targets, designing interventions, and benchmarking success. Following the initial applications of restoration references, however, the definition and broader relevance has been debated. Particularly in an era of directional global change, using historic or even contemporary ecosystem models has been contentious among restoration scientists and practitioners. In response, there have been calls for increasing flexibility in how references are defined and diversifying sources of data used to describe a reference. Previous frameworks suggest reference information can be drawn from sources across two main axes of time and space, covering historic to contemporary sources, and near to far spatial scales. We extend these axes by including future projections of climate and species composition and regional ecological information that is spatially disconnected from defined ecosystem types. Using this new framework, we conducted a review of restoration literature published between 2010 and 2020, extracting the temporal and spatial scales of reference data and classifying reference metrics by data type. The studies overwhelmingly focused on contemporary, ecosystem-specific references to benchmark a completed project's success. The most commonly reported reference metrics were plant-based, and contemporary reference data sources were more diverse than historical or future reference data. As global conditions continue to shift, we suggest that restoration projects would benefit by expanding reference site information to include forecasted and spatially diverse data. A greater diversity of data sources can enable higher flexibility and long-term restoration success in the face of global change.","container-title":"Restoration Ecology","DOI":"10.1111/rec.13541","ISSN":"1526-100X","issue":"n/a","language":"en","note":"_eprint: https://onlinelibrary.wiley.com/doi/pdf/10.1111/rec.13541","page":"e13541","source":"Wiley Online Library","title":"Measuring at all scales: sourcing data for more flexible restoration references","title-short":"Measuring at all scales","volume":"n/a","author":[{"family":"Shackelford","given":"Nancy"},{"family":"Dudney","given":"Joan"},{"family":"Stueber","given":"Melinda M."},{"family":"Temperton","given":"Vicky M."},{"family":"Suding","given":"Katharine L."}],"issued":{"date-parts":[["2021"]]}}}],"schema":"https://github.com/citation-style-language/schema/raw/master/csl-citation.json"} </w:instrText>
      </w:r>
      <w:r w:rsidR="0090110E">
        <w:rPr>
          <w:rFonts w:ascii="Calibri" w:hAnsi="Calibri" w:cs="Calibri"/>
        </w:rPr>
        <w:fldChar w:fldCharType="separate"/>
      </w:r>
      <w:r w:rsidR="0090110E" w:rsidRPr="00D41379">
        <w:rPr>
          <w:rFonts w:ascii="Calibri" w:hAnsi="Calibri" w:cs="Calibri"/>
        </w:rPr>
        <w:t xml:space="preserve">(Shackelford, </w:t>
      </w:r>
      <w:r w:rsidR="0090110E">
        <w:rPr>
          <w:rFonts w:ascii="Calibri" w:hAnsi="Calibri" w:cs="Calibri"/>
        </w:rPr>
        <w:t>et al.</w:t>
      </w:r>
      <w:r w:rsidR="0090110E" w:rsidRPr="00D41379">
        <w:rPr>
          <w:rFonts w:ascii="Calibri" w:hAnsi="Calibri" w:cs="Calibri"/>
        </w:rPr>
        <w:t>, 2021)</w:t>
      </w:r>
      <w:r w:rsidR="0090110E">
        <w:rPr>
          <w:rFonts w:ascii="Calibri" w:hAnsi="Calibri" w:cs="Calibri"/>
        </w:rPr>
        <w:fldChar w:fldCharType="end"/>
      </w:r>
      <w:r w:rsidR="0090110E">
        <w:t xml:space="preserve">. </w:t>
      </w:r>
      <w:r w:rsidR="00D17665">
        <w:t>T</w:t>
      </w:r>
      <w:r>
        <w:t xml:space="preserve">he biodiversity loss described here presents real concerns for this community, and highlights negative </w:t>
      </w:r>
      <w:r w:rsidR="005A47B5">
        <w:t>trends</w:t>
      </w:r>
      <w:r>
        <w:t xml:space="preserve"> in unmanaged ecosystems thought to be relatively pristine. Most importantly: active management</w:t>
      </w:r>
      <w:r w:rsidR="004A1313">
        <w:t xml:space="preserve"> informed by experimental testing of hydrogeomorphologic drivers, dispersal networks, and recruitment strategies</w:t>
      </w:r>
      <w:r>
        <w:t xml:space="preserve"> will be needed to maintain ecologically desired species composition in the face of climate change. </w:t>
      </w:r>
      <w:r w:rsidR="00634A04">
        <w:t xml:space="preserve">If we are to prioritize conservation of functional coastal wetlands that include a significant representation of native species, we must seek new ways to actively manage habitats such as Ladner Marsh through mechanical control of invasive species, combined with experimental management practices using sediment application and/or native species planting to enhance ecosystem processes within remnant marsh habitats. </w:t>
      </w:r>
      <w:r>
        <w:t xml:space="preserve">This active management process also presents a timely and necessary opportunity to engage with First Nations to revive traditional management practices, such as select mechanical disturbance </w:t>
      </w:r>
      <w:r>
        <w:lastRenderedPageBreak/>
        <w:fldChar w:fldCharType="begin"/>
      </w:r>
      <w:r>
        <w:instrText xml:space="preserve"> ADDIN ZOTERO_ITEM CSL_CITATION {"citationID":"oHGLB8Zz","properties":{"formattedCitation":"(Turner, 2014)","plainCitation":"(Turner, 2014)","noteIndex":0},"citationItems":[{"id":164,"uris":["http://zotero.org/users/6092945/items/IVPS7CKQ"],"itemData":{"id":164,"type":"book","abstract":"Volume 1: The History and Practice of Indigenous Plant Knowledge Volume 2: The Place and Meaning of Plants in Indigenous Cultures and Worldviews Nancy Turner has studied Indigenous peoples' knowledge of plants and environments in northwestern North America for over forty years. In Ancient Pathways, Ancestral Knowledge, she integrates her research into a two-volume ethnobotanical tour-de-force. Drawing on information shared by Indigenous botanical experts and collaborators, the ethnographic and historical record, and from linguistics, palaeobotany, archaeology, phytogeography, and other fields, Turner weaves together a complex understanding of the traditions of use and management of plant resources in this vast region. She follows Indigenous inhabitants over time and through space, showing how they actively participated in their environments, managed and cultivated valued plant resources, and maintained key habitats that supported their dynamic cultures for thousands of years, as well as how knowledge was passed on from generation to generation and from one community to another. To understand the values and perspectives that have guided Indigenous ethnobotanical knowledge and practices, Turner looks beyond the details of individual plant species and their uses to determine the overall patterns and processes of their development, application, and adaptation. Volume 1 presents a historical overview of ethnobotonical knowledge in the region before and after European contact. The ways in which Indigenous peoples used and interacted with plants - for nutrition, technologies, and medicine - are examined. Drawing connections between similarities across languages, Turner compares the names of over 250 plant species in more than fifty Indigenous languages and dialects to demonstrate the prominence of certain plants in various cultures and the sharing of goods and ideas between peoples. She also examines the effects that introduced species and colonialism had on the region's Indigenous peoples and their ecologies. Volume 2 provides a sweeping account of how Indigenous organizational systems developed to facilitate the harvesting, use, and cultivation of plants, to establish economic connections across linguistic and cultural borders, and to preserve and manage resources and habitats. Turner describes the worldviews and philosophies that emerged from the interactions between peoples and plants, and how these understandings are expressed through cultures’ stories and narratives. Finally, she explores the ways in which botanical and ecological knowledge can be and are being maintained as living, adaptive systems that promote healthy cultures, environments, and indigenous plant populations. Ancient Pathways, Ancestral Knowledge both challenges and contributes to existing knowledge of Indigenous peoples' land stewardship while preserving information that might otherwise have been lost. Providing new and captivating insights into the anthropogenic systems of northwestern North America, it will stand as an authoritative reference work and contribute to a fuller understanding of the interactions between cultures and ecological systems.","ISBN":"978-0-7735-8539-3","language":"en","note":"Google-Books-ID: oJLdAwAAQBAJ","number-of-pages":"1161","publisher":"McGill-Queen's Press - MQUP","source":"Google Books","title":"Ancient Pathways, Ancestral Knowledge: Ethnobotany and Ecological Wisdom of Indigenous Peoples of Northwestern North America","title-short":"Ancient Pathways, Ancestral Knowledge","author":[{"family":"Turner","given":"Nancy"}],"issued":{"date-parts":[["2014",6]]}}}],"schema":"https://github.com/citation-style-language/schema/raw/master/csl-citation.json"} </w:instrText>
      </w:r>
      <w:r>
        <w:fldChar w:fldCharType="separate"/>
      </w:r>
      <w:r w:rsidRPr="00A1679A">
        <w:rPr>
          <w:rFonts w:ascii="Calibri" w:hAnsi="Calibri" w:cs="Calibri"/>
        </w:rPr>
        <w:t>(Turner, 2014)</w:t>
      </w:r>
      <w:r>
        <w:fldChar w:fldCharType="end"/>
      </w:r>
      <w:r>
        <w:t xml:space="preserve">: working with traditional knowledge holders may yield deeper understanding of plant community function and habitat stability, which would enhance ecosystem resilience and potentially lead to positive effects on salmonid populations while contributing to reconciliation between Indigenous and colonial cultures. </w:t>
      </w:r>
    </w:p>
    <w:p w14:paraId="3F377090" w14:textId="77777777" w:rsidR="007805BE" w:rsidRDefault="007805BE"/>
    <w:sectPr w:rsidR="00780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tefanie Lane" w:date="2022-08-23T15:55:00Z" w:initials="SLL">
    <w:p w14:paraId="58965674" w14:textId="29DE882E" w:rsidR="000276BF" w:rsidRDefault="000276BF">
      <w:pPr>
        <w:pStyle w:val="CommentText"/>
      </w:pPr>
      <w:r>
        <w:rPr>
          <w:rStyle w:val="CommentReference"/>
        </w:rPr>
        <w:annotationRef/>
      </w:r>
      <w:r>
        <w:t>[</w:t>
      </w:r>
      <w:r w:rsidRPr="00954F83">
        <w:rPr>
          <w:i/>
        </w:rPr>
        <w:t xml:space="preserve">Can you say functional traits of indicator species were comparable? </w:t>
      </w:r>
      <w:proofErr w:type="spellStart"/>
      <w:r w:rsidRPr="00954F83">
        <w:rPr>
          <w:i/>
        </w:rPr>
        <w:t>Bc</w:t>
      </w:r>
      <w:proofErr w:type="spellEnd"/>
      <w:r w:rsidRPr="00954F83">
        <w:rPr>
          <w:i/>
        </w:rPr>
        <w:t xml:space="preserve"> if so, then this starts the argument for high interannual variability, even w perennial sp</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9656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965674" w16cid:durableId="26AF76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1206E"/>
    <w:multiLevelType w:val="hybridMultilevel"/>
    <w:tmpl w:val="7A823214"/>
    <w:lvl w:ilvl="0" w:tplc="1C78A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39"/>
    <w:rsid w:val="00014070"/>
    <w:rsid w:val="000205E1"/>
    <w:rsid w:val="0002061A"/>
    <w:rsid w:val="000276BF"/>
    <w:rsid w:val="0004186F"/>
    <w:rsid w:val="000573DC"/>
    <w:rsid w:val="00071E32"/>
    <w:rsid w:val="00095564"/>
    <w:rsid w:val="00095E0B"/>
    <w:rsid w:val="000B234F"/>
    <w:rsid w:val="000C4414"/>
    <w:rsid w:val="000C557A"/>
    <w:rsid w:val="000D5E29"/>
    <w:rsid w:val="000D5FC7"/>
    <w:rsid w:val="001266F6"/>
    <w:rsid w:val="00135DC5"/>
    <w:rsid w:val="0015361E"/>
    <w:rsid w:val="00155EC2"/>
    <w:rsid w:val="00167685"/>
    <w:rsid w:val="001678E5"/>
    <w:rsid w:val="001A3021"/>
    <w:rsid w:val="001C5F83"/>
    <w:rsid w:val="001F4D34"/>
    <w:rsid w:val="002016AE"/>
    <w:rsid w:val="00250F16"/>
    <w:rsid w:val="00271F96"/>
    <w:rsid w:val="00294CC5"/>
    <w:rsid w:val="002B76D8"/>
    <w:rsid w:val="002C49E6"/>
    <w:rsid w:val="002C5261"/>
    <w:rsid w:val="002D4CD0"/>
    <w:rsid w:val="002F718E"/>
    <w:rsid w:val="00302F21"/>
    <w:rsid w:val="00330C58"/>
    <w:rsid w:val="0033314F"/>
    <w:rsid w:val="0033448D"/>
    <w:rsid w:val="00351875"/>
    <w:rsid w:val="00353906"/>
    <w:rsid w:val="003C41DA"/>
    <w:rsid w:val="003F4DDD"/>
    <w:rsid w:val="00461EA2"/>
    <w:rsid w:val="00467553"/>
    <w:rsid w:val="004A078A"/>
    <w:rsid w:val="004A1313"/>
    <w:rsid w:val="004D6069"/>
    <w:rsid w:val="004F1DBF"/>
    <w:rsid w:val="005829BB"/>
    <w:rsid w:val="0058714D"/>
    <w:rsid w:val="0058760D"/>
    <w:rsid w:val="005962C9"/>
    <w:rsid w:val="005A4306"/>
    <w:rsid w:val="005A47B5"/>
    <w:rsid w:val="006260B5"/>
    <w:rsid w:val="00634A04"/>
    <w:rsid w:val="006359FF"/>
    <w:rsid w:val="00645E67"/>
    <w:rsid w:val="00646A6D"/>
    <w:rsid w:val="00695265"/>
    <w:rsid w:val="006A7468"/>
    <w:rsid w:val="006C3EBF"/>
    <w:rsid w:val="006C5D12"/>
    <w:rsid w:val="006C7658"/>
    <w:rsid w:val="006D0BD4"/>
    <w:rsid w:val="00757A6B"/>
    <w:rsid w:val="007668C6"/>
    <w:rsid w:val="00770096"/>
    <w:rsid w:val="007736AD"/>
    <w:rsid w:val="007805BE"/>
    <w:rsid w:val="007E5C7B"/>
    <w:rsid w:val="007F1F34"/>
    <w:rsid w:val="0082231C"/>
    <w:rsid w:val="00825EA9"/>
    <w:rsid w:val="008337CC"/>
    <w:rsid w:val="00837BA2"/>
    <w:rsid w:val="00856B3A"/>
    <w:rsid w:val="00866026"/>
    <w:rsid w:val="0087124F"/>
    <w:rsid w:val="00873404"/>
    <w:rsid w:val="008C223E"/>
    <w:rsid w:val="008E2136"/>
    <w:rsid w:val="008F17F5"/>
    <w:rsid w:val="0090110E"/>
    <w:rsid w:val="0091358C"/>
    <w:rsid w:val="009200D5"/>
    <w:rsid w:val="00925CD8"/>
    <w:rsid w:val="00941A69"/>
    <w:rsid w:val="00943B2D"/>
    <w:rsid w:val="00953220"/>
    <w:rsid w:val="00954F83"/>
    <w:rsid w:val="00967AF6"/>
    <w:rsid w:val="00995563"/>
    <w:rsid w:val="00997BA4"/>
    <w:rsid w:val="009A048C"/>
    <w:rsid w:val="009A6A34"/>
    <w:rsid w:val="009A7644"/>
    <w:rsid w:val="009B7BBC"/>
    <w:rsid w:val="009C1666"/>
    <w:rsid w:val="00A6725E"/>
    <w:rsid w:val="00A83C5B"/>
    <w:rsid w:val="00A87E7B"/>
    <w:rsid w:val="00AA67AA"/>
    <w:rsid w:val="00AD260D"/>
    <w:rsid w:val="00AD296F"/>
    <w:rsid w:val="00AF5826"/>
    <w:rsid w:val="00B03B49"/>
    <w:rsid w:val="00B040C9"/>
    <w:rsid w:val="00B12DF8"/>
    <w:rsid w:val="00B40088"/>
    <w:rsid w:val="00B40A96"/>
    <w:rsid w:val="00B84725"/>
    <w:rsid w:val="00B8628D"/>
    <w:rsid w:val="00BA151C"/>
    <w:rsid w:val="00BC6239"/>
    <w:rsid w:val="00BF6055"/>
    <w:rsid w:val="00C22DEE"/>
    <w:rsid w:val="00C3150E"/>
    <w:rsid w:val="00C3213B"/>
    <w:rsid w:val="00C609D3"/>
    <w:rsid w:val="00C659BA"/>
    <w:rsid w:val="00CC6258"/>
    <w:rsid w:val="00CD0114"/>
    <w:rsid w:val="00CF0C8D"/>
    <w:rsid w:val="00D0542F"/>
    <w:rsid w:val="00D0626A"/>
    <w:rsid w:val="00D17665"/>
    <w:rsid w:val="00D4287A"/>
    <w:rsid w:val="00D64AF0"/>
    <w:rsid w:val="00DB5D91"/>
    <w:rsid w:val="00DC2AAA"/>
    <w:rsid w:val="00DC411A"/>
    <w:rsid w:val="00DC73F7"/>
    <w:rsid w:val="00DE4A1C"/>
    <w:rsid w:val="00DF5C3A"/>
    <w:rsid w:val="00E208E9"/>
    <w:rsid w:val="00E214AF"/>
    <w:rsid w:val="00E231FE"/>
    <w:rsid w:val="00E3329F"/>
    <w:rsid w:val="00E6108D"/>
    <w:rsid w:val="00E7656F"/>
    <w:rsid w:val="00E971E9"/>
    <w:rsid w:val="00F2778B"/>
    <w:rsid w:val="00F379EA"/>
    <w:rsid w:val="00F546E3"/>
    <w:rsid w:val="00F61E48"/>
    <w:rsid w:val="00F71D1B"/>
    <w:rsid w:val="00F81A48"/>
    <w:rsid w:val="00F92509"/>
    <w:rsid w:val="00F9671B"/>
    <w:rsid w:val="00FA1433"/>
    <w:rsid w:val="00FC20AB"/>
    <w:rsid w:val="00FF57D9"/>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201B"/>
  <w15:chartTrackingRefBased/>
  <w15:docId w15:val="{8235952A-4C59-4587-8363-1C14568E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239"/>
  </w:style>
  <w:style w:type="paragraph" w:styleId="Heading1">
    <w:name w:val="heading 1"/>
    <w:basedOn w:val="Normal"/>
    <w:next w:val="Normal"/>
    <w:link w:val="Heading1Char"/>
    <w:uiPriority w:val="9"/>
    <w:qFormat/>
    <w:rsid w:val="00BC6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62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623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C6239"/>
    <w:rPr>
      <w:sz w:val="16"/>
      <w:szCs w:val="16"/>
    </w:rPr>
  </w:style>
  <w:style w:type="paragraph" w:styleId="CommentText">
    <w:name w:val="annotation text"/>
    <w:basedOn w:val="Normal"/>
    <w:link w:val="CommentTextChar"/>
    <w:uiPriority w:val="99"/>
    <w:unhideWhenUsed/>
    <w:rsid w:val="00BC6239"/>
    <w:pPr>
      <w:spacing w:line="240" w:lineRule="auto"/>
    </w:pPr>
    <w:rPr>
      <w:sz w:val="20"/>
      <w:szCs w:val="20"/>
    </w:rPr>
  </w:style>
  <w:style w:type="character" w:customStyle="1" w:styleId="CommentTextChar">
    <w:name w:val="Comment Text Char"/>
    <w:basedOn w:val="DefaultParagraphFont"/>
    <w:link w:val="CommentText"/>
    <w:uiPriority w:val="99"/>
    <w:rsid w:val="00BC6239"/>
    <w:rPr>
      <w:sz w:val="20"/>
      <w:szCs w:val="20"/>
    </w:rPr>
  </w:style>
  <w:style w:type="paragraph" w:styleId="BalloonText">
    <w:name w:val="Balloon Text"/>
    <w:basedOn w:val="Normal"/>
    <w:link w:val="BalloonTextChar"/>
    <w:uiPriority w:val="99"/>
    <w:semiHidden/>
    <w:unhideWhenUsed/>
    <w:rsid w:val="00BC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23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B5D91"/>
    <w:rPr>
      <w:b/>
      <w:bCs/>
    </w:rPr>
  </w:style>
  <w:style w:type="character" w:customStyle="1" w:styleId="CommentSubjectChar">
    <w:name w:val="Comment Subject Char"/>
    <w:basedOn w:val="CommentTextChar"/>
    <w:link w:val="CommentSubject"/>
    <w:uiPriority w:val="99"/>
    <w:semiHidden/>
    <w:rsid w:val="00DB5D91"/>
    <w:rPr>
      <w:b/>
      <w:bCs/>
      <w:sz w:val="20"/>
      <w:szCs w:val="20"/>
    </w:rPr>
  </w:style>
  <w:style w:type="paragraph" w:styleId="ListParagraph">
    <w:name w:val="List Paragraph"/>
    <w:basedOn w:val="Normal"/>
    <w:uiPriority w:val="34"/>
    <w:qFormat/>
    <w:rsid w:val="00856B3A"/>
    <w:pPr>
      <w:ind w:left="720"/>
      <w:contextualSpacing/>
    </w:pPr>
  </w:style>
  <w:style w:type="paragraph" w:styleId="Caption">
    <w:name w:val="caption"/>
    <w:basedOn w:val="Normal"/>
    <w:next w:val="Normal"/>
    <w:uiPriority w:val="35"/>
    <w:unhideWhenUsed/>
    <w:qFormat/>
    <w:rsid w:val="00F967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2CB5C9-5F58-4709-AD59-AC0B016FB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E71FDB-8CC5-408E-9E1F-F623DFC14455}">
  <ds:schemaRefs>
    <ds:schemaRef ds:uri="http://schemas.microsoft.com/sharepoint/v3/contenttype/forms"/>
  </ds:schemaRefs>
</ds:datastoreItem>
</file>

<file path=customXml/itemProps3.xml><?xml version="1.0" encoding="utf-8"?>
<ds:datastoreItem xmlns:ds="http://schemas.openxmlformats.org/officeDocument/2006/customXml" ds:itemID="{13094DF2-1BB1-4200-A34E-E095FFEDC513}">
  <ds:schemaRefs>
    <ds:schemaRef ds:uri="http://schemas.microsoft.com/office/infopath/2007/PartnerControls"/>
    <ds:schemaRef ds:uri="http://purl.org/dc/dcmitype/"/>
    <ds:schemaRef ds:uri="8c008993-a31f-4b40-b1f3-88dd9c6e1924"/>
    <ds:schemaRef ds:uri="http://schemas.microsoft.com/office/2006/metadata/properties"/>
    <ds:schemaRef ds:uri="http://purl.org/dc/terms/"/>
    <ds:schemaRef ds:uri="http://purl.org/dc/elements/1.1/"/>
    <ds:schemaRef ds:uri="http://schemas.microsoft.com/office/2006/documentManagement/types"/>
    <ds:schemaRef ds:uri="http://schemas.openxmlformats.org/package/2006/metadata/core-properties"/>
    <ds:schemaRef ds:uri="360018dd-41eb-4458-b1d4-4b46a95a2b0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5877</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30</cp:revision>
  <dcterms:created xsi:type="dcterms:W3CDTF">2022-08-23T22:27:00Z</dcterms:created>
  <dcterms:modified xsi:type="dcterms:W3CDTF">2022-08-24T01:17:00Z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zotero-version="6.0.13"&gt;&lt;session id="NovQ9y4J"/&gt;&lt;style id="http://www.zotero.org/styles/apa" locale="en-US" hasBibliography="1" bibliographyStyleHasBeenSet="0"/&gt;&lt;prefs&gt;&lt;pref name="fieldType" value="Field"/&gt;&lt;/prefs&gt;&lt;/data&gt;</vt:lpwstr>
  </property>
</Properties>
</file>