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5565D" w14:textId="2B091E4E" w:rsidR="0022363E" w:rsidRDefault="0022363E" w:rsidP="0022363E">
      <w:pPr>
        <w:pStyle w:val="Heading1"/>
      </w:pPr>
      <w:r>
        <w:t>Intro</w:t>
      </w:r>
      <w:r w:rsidR="00F94015">
        <w:t>duction</w:t>
      </w:r>
    </w:p>
    <w:p w14:paraId="67A47871" w14:textId="4F7577B1" w:rsidR="00C55998" w:rsidRDefault="00566C69" w:rsidP="00C55998">
      <w:pPr>
        <w:pStyle w:val="ListParagraph"/>
        <w:numPr>
          <w:ilvl w:val="0"/>
          <w:numId w:val="4"/>
        </w:numPr>
      </w:pPr>
      <w:r>
        <w:t xml:space="preserve">Global issue of </w:t>
      </w:r>
      <w:r w:rsidR="001C64DC">
        <w:t xml:space="preserve">plant </w:t>
      </w:r>
      <w:r>
        <w:t xml:space="preserve">species homogenization </w:t>
      </w:r>
      <w:r w:rsidR="00C55998">
        <w:t>reduce</w:t>
      </w:r>
      <w:r w:rsidR="00841571">
        <w:t>s</w:t>
      </w:r>
      <w:r>
        <w:t xml:space="preserve"> ecosystem/community stability</w:t>
      </w:r>
      <w:r w:rsidR="002D6004">
        <w:t xml:space="preserve">, especially in the face of shifting climatic conditions such as altered hydrologic regimes (rainfall, </w:t>
      </w:r>
      <w:r w:rsidR="003F3F7D">
        <w:t xml:space="preserve">cumulative </w:t>
      </w:r>
      <w:r w:rsidR="002D6004">
        <w:t>watershed</w:t>
      </w:r>
      <w:r w:rsidR="00182C65">
        <w:t>-scale flow</w:t>
      </w:r>
      <w:r w:rsidR="003F3F7D">
        <w:t xml:space="preserve">/stream </w:t>
      </w:r>
      <w:r w:rsidR="00182C65">
        <w:t xml:space="preserve">permanence, and sea level rise). </w:t>
      </w:r>
    </w:p>
    <w:p w14:paraId="1F1229D0" w14:textId="23C833B5" w:rsidR="00841571" w:rsidRDefault="0026405A" w:rsidP="00841571">
      <w:pPr>
        <w:pStyle w:val="ListParagraph"/>
        <w:numPr>
          <w:ilvl w:val="1"/>
          <w:numId w:val="4"/>
        </w:numPr>
      </w:pPr>
      <w:r>
        <w:t xml:space="preserve">Homogenization </w:t>
      </w:r>
      <w:r w:rsidR="001C64DC">
        <w:t>by non-native species invasion</w:t>
      </w:r>
      <w:r w:rsidR="005211A7">
        <w:t xml:space="preserve"> displaces </w:t>
      </w:r>
      <w:r w:rsidR="001C64DC">
        <w:t xml:space="preserve">native plants and </w:t>
      </w:r>
      <w:r w:rsidR="00FE73FB">
        <w:t>altering</w:t>
      </w:r>
      <w:r w:rsidR="001C64DC">
        <w:t xml:space="preserve"> community </w:t>
      </w:r>
      <w:r w:rsidR="005211A7">
        <w:t xml:space="preserve">compositional </w:t>
      </w:r>
      <w:r w:rsidR="00FE73FB">
        <w:t>structure</w:t>
      </w:r>
      <w:r w:rsidR="001C64DC">
        <w:t xml:space="preserve">. </w:t>
      </w:r>
    </w:p>
    <w:p w14:paraId="5274713B" w14:textId="762CFC6B" w:rsidR="00380BA0" w:rsidRDefault="00380BA0" w:rsidP="00841571">
      <w:pPr>
        <w:pStyle w:val="ListParagraph"/>
        <w:numPr>
          <w:ilvl w:val="1"/>
          <w:numId w:val="4"/>
        </w:numPr>
      </w:pPr>
      <w:commentRangeStart w:id="0"/>
      <w:r>
        <w:t xml:space="preserve">Incorporate </w:t>
      </w:r>
      <w:commentRangeEnd w:id="0"/>
      <w:r w:rsidR="004C3383">
        <w:rPr>
          <w:rStyle w:val="CommentReference"/>
        </w:rPr>
        <w:commentReference w:id="0"/>
      </w:r>
      <w:r>
        <w:t>concept of alternative stable states/ecological thresholds</w:t>
      </w:r>
      <w:r w:rsidR="00614712">
        <w:t>.</w:t>
      </w:r>
      <w:r>
        <w:t xml:space="preserve"> (context for why I expect assemblage-defining species to remain the same)</w:t>
      </w:r>
    </w:p>
    <w:p w14:paraId="4AC3E00F" w14:textId="6C541162" w:rsidR="005F3F8D" w:rsidRDefault="009113BE" w:rsidP="00E42512">
      <w:pPr>
        <w:pStyle w:val="ListParagraph"/>
        <w:numPr>
          <w:ilvl w:val="0"/>
          <w:numId w:val="4"/>
        </w:numPr>
      </w:pPr>
      <w:r>
        <w:t>Estuaries</w:t>
      </w:r>
      <w:r w:rsidR="00566C69">
        <w:t xml:space="preserve"> </w:t>
      </w:r>
      <w:r w:rsidR="005F3F8D">
        <w:t xml:space="preserve">are </w:t>
      </w:r>
      <w:r w:rsidR="00182C65">
        <w:t xml:space="preserve">at the terrestrial-marine interface where </w:t>
      </w:r>
      <w:r w:rsidR="005F3F8D">
        <w:t>cumulative hydrologic stressors can shift ecological conditions required for sufficient</w:t>
      </w:r>
      <w:r w:rsidR="00566C69">
        <w:t xml:space="preserve"> habitat </w:t>
      </w:r>
      <w:r w:rsidR="00841571">
        <w:t>stability</w:t>
      </w:r>
      <w:r w:rsidR="005F3F8D">
        <w:t>.</w:t>
      </w:r>
    </w:p>
    <w:p w14:paraId="76CAE29B" w14:textId="6822C47F" w:rsidR="00566C69" w:rsidRDefault="00C55998" w:rsidP="005F3F8D">
      <w:pPr>
        <w:pStyle w:val="ListParagraph"/>
        <w:numPr>
          <w:ilvl w:val="1"/>
          <w:numId w:val="4"/>
        </w:numPr>
      </w:pPr>
      <w:r>
        <w:t>In North America, e</w:t>
      </w:r>
      <w:r w:rsidR="009113BE">
        <w:t>stuaries</w:t>
      </w:r>
      <w:r w:rsidR="005F3F8D">
        <w:t xml:space="preserve"> are </w:t>
      </w:r>
      <w:r w:rsidR="00177F29">
        <w:t xml:space="preserve">of </w:t>
      </w:r>
      <w:r w:rsidR="00841571">
        <w:t xml:space="preserve">greater conservation </w:t>
      </w:r>
      <w:r w:rsidR="00177F29">
        <w:t xml:space="preserve">importance in the PNW (limited space due to fjord geography, contrast to </w:t>
      </w:r>
      <w:r>
        <w:t xml:space="preserve">expansive </w:t>
      </w:r>
      <w:r w:rsidR="00177F29">
        <w:t xml:space="preserve">alluvial plains of eastern North America). </w:t>
      </w:r>
    </w:p>
    <w:p w14:paraId="2539BF40" w14:textId="2A197DEE" w:rsidR="009113BE" w:rsidRDefault="009113BE" w:rsidP="005F3F8D">
      <w:pPr>
        <w:pStyle w:val="ListParagraph"/>
        <w:numPr>
          <w:ilvl w:val="1"/>
          <w:numId w:val="4"/>
        </w:numPr>
      </w:pPr>
      <w:r>
        <w:t>Within estuaries, tidal freshwater marshes (TFMs) are of particular importance (early transitional habitat along salinity gradient for salmonids)</w:t>
      </w:r>
      <w:r w:rsidR="00BD7884">
        <w:t>, and</w:t>
      </w:r>
      <w:r w:rsidR="007D2223">
        <w:t xml:space="preserve"> historically were more likely to be developed compared to salt marshes</w:t>
      </w:r>
      <w:r w:rsidR="00BD7884">
        <w:t xml:space="preserve"> (</w:t>
      </w:r>
      <w:r w:rsidR="008871D9">
        <w:t xml:space="preserve">more </w:t>
      </w:r>
      <w:r w:rsidR="00BD7884">
        <w:t xml:space="preserve">municipal, industrial development). </w:t>
      </w:r>
    </w:p>
    <w:p w14:paraId="326B2F4F" w14:textId="77777777" w:rsidR="00E73137" w:rsidRDefault="00F812CC" w:rsidP="004C7DF9">
      <w:pPr>
        <w:pStyle w:val="ListParagraph"/>
        <w:numPr>
          <w:ilvl w:val="0"/>
          <w:numId w:val="4"/>
        </w:numPr>
      </w:pPr>
      <w:r w:rsidRPr="00F812CC">
        <w:t>Define</w:t>
      </w:r>
      <w:r w:rsidR="004C7DF9" w:rsidRPr="00F812CC">
        <w:t xml:space="preserve"> </w:t>
      </w:r>
      <w:r w:rsidR="000431F1" w:rsidRPr="00F812CC">
        <w:t xml:space="preserve">TFM </w:t>
      </w:r>
      <w:r w:rsidR="004C7DF9" w:rsidRPr="00F812CC">
        <w:t xml:space="preserve">plant </w:t>
      </w:r>
      <w:r w:rsidR="00BA207B">
        <w:t>communities</w:t>
      </w:r>
      <w:r w:rsidR="00C325A9" w:rsidRPr="00F812CC">
        <w:t xml:space="preserve"> in the PNW</w:t>
      </w:r>
      <w:r w:rsidR="00BA207B">
        <w:t>, and assemblages as subsets</w:t>
      </w:r>
      <w:r w:rsidR="00122537">
        <w:t xml:space="preserve"> within the community with microsite adaptations to inundation and saturation</w:t>
      </w:r>
      <w:r w:rsidR="00BA207B">
        <w:t xml:space="preserve">. </w:t>
      </w:r>
    </w:p>
    <w:p w14:paraId="2F00D972" w14:textId="3A67927A" w:rsidR="004C7DF9" w:rsidRPr="00F812CC" w:rsidRDefault="00BA207B" w:rsidP="00E73137">
      <w:pPr>
        <w:pStyle w:val="ListParagraph"/>
        <w:numPr>
          <w:ilvl w:val="1"/>
          <w:numId w:val="4"/>
        </w:numPr>
      </w:pPr>
      <w:r>
        <w:t>G</w:t>
      </w:r>
      <w:r w:rsidR="004C7DF9" w:rsidRPr="00F812CC">
        <w:t xml:space="preserve">eneral herbaceous structure, dominated by sedges/rushes with some salinity tolerance, but </w:t>
      </w:r>
      <w:r w:rsidR="00504E47" w:rsidRPr="00F812CC">
        <w:t xml:space="preserve">with greater forb diversity unique to </w:t>
      </w:r>
      <w:r w:rsidR="004C7DF9" w:rsidRPr="00F812CC">
        <w:t>TFMs</w:t>
      </w:r>
      <w:r w:rsidR="00504E47" w:rsidRPr="00F812CC">
        <w:t xml:space="preserve"> that don’t occur in non-tidal wetlands</w:t>
      </w:r>
      <w:r w:rsidR="000431F1" w:rsidRPr="00F812CC">
        <w:t xml:space="preserve">; </w:t>
      </w:r>
      <w:r w:rsidR="00504E47" w:rsidRPr="00F812CC">
        <w:t>Set the stage for habitat value, and concern for species gained/lost</w:t>
      </w:r>
      <w:r w:rsidR="000431F1" w:rsidRPr="00F812CC">
        <w:t>.</w:t>
      </w:r>
      <w:r w:rsidR="003436E0" w:rsidRPr="00F812CC">
        <w:t xml:space="preserve"> </w:t>
      </w:r>
    </w:p>
    <w:p w14:paraId="795F5AED" w14:textId="2D6E98B7" w:rsidR="00F812CC" w:rsidRDefault="00D529B9" w:rsidP="006C5D18">
      <w:pPr>
        <w:pStyle w:val="ListParagraph"/>
        <w:numPr>
          <w:ilvl w:val="0"/>
          <w:numId w:val="4"/>
        </w:numPr>
      </w:pPr>
      <w:r>
        <w:t xml:space="preserve">A major challenge of measuring community stability is the lack of long-term </w:t>
      </w:r>
      <w:r w:rsidR="001578C8">
        <w:t xml:space="preserve">monitoring of interannual changes. </w:t>
      </w:r>
      <w:r w:rsidR="00E00A7F">
        <w:t xml:space="preserve">In absence of </w:t>
      </w:r>
      <w:r w:rsidR="00907858">
        <w:t>long-term</w:t>
      </w:r>
      <w:r w:rsidR="00744FD6">
        <w:t xml:space="preserve"> monitoring</w:t>
      </w:r>
      <w:r w:rsidR="00E00A7F">
        <w:t xml:space="preserve">, </w:t>
      </w:r>
      <w:commentRangeStart w:id="2"/>
      <w:r w:rsidR="00E00A7F">
        <w:t>using</w:t>
      </w:r>
      <w:r w:rsidR="00907858">
        <w:t xml:space="preserve"> </w:t>
      </w:r>
      <w:commentRangeEnd w:id="2"/>
      <w:r w:rsidR="00907858">
        <w:rPr>
          <w:rStyle w:val="CommentReference"/>
        </w:rPr>
        <w:commentReference w:id="2"/>
      </w:r>
      <w:r w:rsidR="004C7DF9">
        <w:t xml:space="preserve">historical datasets can provide a </w:t>
      </w:r>
      <w:r w:rsidR="00AA7D9E">
        <w:t>‘</w:t>
      </w:r>
      <w:r w:rsidR="004C7DF9">
        <w:t>snapshot</w:t>
      </w:r>
      <w:r w:rsidR="00AA7D9E">
        <w:t>’</w:t>
      </w:r>
      <w:r w:rsidR="004C7DF9">
        <w:t xml:space="preserve"> of changes across time. </w:t>
      </w:r>
    </w:p>
    <w:p w14:paraId="03897D37" w14:textId="72A9D2B6" w:rsidR="00F812CC" w:rsidRDefault="00F812CC" w:rsidP="00F812CC">
      <w:pPr>
        <w:pStyle w:val="ListParagraph"/>
        <w:numPr>
          <w:ilvl w:val="1"/>
          <w:numId w:val="4"/>
        </w:numPr>
      </w:pPr>
      <w:r>
        <w:t>One such opportunity exists in Ladner Marsh</w:t>
      </w:r>
      <w:r w:rsidR="00E75976">
        <w:t>, which escaped development through designation as protected habitat (</w:t>
      </w:r>
      <w:r w:rsidR="00DB370D">
        <w:t>Figure 1</w:t>
      </w:r>
      <w:r w:rsidR="00E75976">
        <w:t xml:space="preserve">). </w:t>
      </w:r>
    </w:p>
    <w:p w14:paraId="2F12959A" w14:textId="7D558A41" w:rsidR="00E75976" w:rsidRDefault="0074167B" w:rsidP="00F812CC">
      <w:pPr>
        <w:pStyle w:val="ListParagraph"/>
        <w:numPr>
          <w:ilvl w:val="1"/>
          <w:numId w:val="4"/>
        </w:numPr>
      </w:pPr>
      <w:r>
        <w:t>Two</w:t>
      </w:r>
      <w:r w:rsidR="00645972">
        <w:t xml:space="preserve"> historical</w:t>
      </w:r>
      <w:r>
        <w:t xml:space="preserve"> studies conducted in Ladner Marsh</w:t>
      </w:r>
      <w:r w:rsidR="00FE2BE8">
        <w:t xml:space="preserve"> </w:t>
      </w:r>
      <w:r w:rsidR="00FE2BE8">
        <w:fldChar w:fldCharType="begin"/>
      </w:r>
      <w:r w:rsidR="00FE2BE8">
        <w:instrText xml:space="preserve"> ADDIN ZOTERO_ITEM CSL_CITATION {"citationID":"6mq2qPtY","properties":{"formattedCitation":"(Bradfield &amp; Porter, 1982; Denoth &amp; Myers, 2007)","plainCitation":"(Bradfield &amp; Porter, 1982; Denoth &amp; Myers, 2007)","noteIndex":0},"citationItems":[{"id":480,"uris":["http://zotero.org/users/6092945/items/AA4XA4EZ"],"uri":["http://zotero.org/users/6092945/items/AA4XA4EZ"],"itemData":{"id":480,"type":"article-journal","abstract":"Vegetation data from a predominantly freshwater-influenced tidal marsh in the Fraser River estuary are analysed to investigate different properties of community structure. Three main vegetation zones are recognized, dominated respectively by Carex lyngbyei, Festuca arundinacea, and Menyanthes trifoliata. The zones occupy parts of the marsh which differ primarily in hydrological regime: the Carex zone occurs in regularly flooded and drained areas, mainly along tidal creeks; the Festuca zone occurs on infrequently flooded levees; the Menyanthes zone occurs in areas of impeded drainage, mainly between tidal creeks.Principal components analysis and reciprocal averaging gave similar results except for a 90° rotation of ordination axes. The combined results from cluster analysis and ordination give a useful summary of the marsh vegetation structure. The evaluation of various diversity measures including species richness, species density, beta diversity, and species evenness provided a useful basis for making co..., Les données sur la végétation d'un marais de marée principalement influencé par l'eau douce de l'estuaire du fleuve Fraser sont analysées afin d'étudier les diverses propriétés de la structure des communautés. Trois principales zones de végétation sont dominées respectivement par Carex lyngbyei, Festuca arundinacea, et Menyanthes trifoliata. Ces trois zones occupent des parties du marais qui diffèrent surtout par leur régime hydrologique : la zone à Carex occupe les parties inondées et exondées régulièrement, principalement le long des ruisseaux de marée; la zone à Festuca occupe les levées rarement inondées; la zone à Menyanthes occupe les parties mal drainées, principalement entre les ruisseaux de marée.L'analyse en composantes principales et l'analyse des correspondances ont donné des résultats semblables, sauf pour une rotation de 90° des axes d'ordination. Les résultats combinés d'une analyse des groupements et des ordinations semblent offrir une bonne représentation de la structure de la végétation ...","container-title":"Canadian Journal of Botany","DOI":"10.1139/b82-060","ISSN":"0008-4026","issue":"4","journalAbbreviation":"Can. J. Bot.","page":"440-451","source":"NRC Research Press","title":"Vegetation structure and diversity components of a Fraser estuary tidal marsh","volume":"60","author":[{"family":"Bradfield","given":"Gary E."},{"family":"Porter","given":"Glendon L."}],"issued":{"date-parts":[["1982",4,1]]}}},{"id":225,"uris":["http://zotero.org/users/6092945/items/LSLEQYJS"],"uri":["http://zotero.org/users/6092945/items/LSLEQYJS"],"itemData":{"id":225,"type":"article-journal","abstract":"The rare endemic plant Sidalcea hendersonii (Henderson’s checker-mallow) occurs in tidal marshes of the Pacific Northwest and may be threatened by Lythrum salicaria (purple loosestrife), a European invader plant. We compared the abundances of Lythrum and Sidalcea in a wetland in British Columbia (Canada) in 1999 to those measured in 1979 to track changes in both species. Although the frequency of Sidalcea decreased by more than 50%, and that of Lythrum increased by almost 20%, there was no significant relationship between the changes of the two species. We assessed the potential effects of competition by Lythrum on Sidalcea in field and patio experiments. In the field, we measured the response of Sidalcea to the removal of Lythrum over a two-year period and compared this to the response of Sidalcea to the removal of native species and in unmanipulated control plots. Removal of Lythrum significantly improved the vegetative performance of Sidalcea compared to the removal of randomly selected native plants and the control treatment in the first year. In the second year, the performance of Sidealcea did not differ significantly with treatment. Removals did not influence the reproductive performance of Sidalcea in either year. A one-year additive experiment, carried out in pots, compared the competitive effect of Lythrum on Sidalcea with that of two native species. Lythrum’s impact on Sidalcea was not consistently stronger than that of the native species. Collectively, these results do not indicate a strong impact of Lythrum on the reproduction or abundance of Sidalcea.","container-title":"Plant Ecology","DOI":"10.1007/s11258-006-9232-2","ISSN":"1573-5052","issue":"2","journalAbbreviation":"Plant Ecol","language":"en","page":"153-161","source":"Springer Link","title":"Competition between Lythrum salicaria and a rare species: combining evidence from experiments and long-term monitoring","title-short":"Competition between Lythrum salicaria and a rare species","volume":"191","author":[{"family":"Denoth","given":"Madlen"},{"family":"Myers","given":"Judith H."}],"issued":{"date-parts":[["2007",8,1]]}}}],"schema":"https://github.com/citation-style-language/schema/raw/master/csl-citation.json"} </w:instrText>
      </w:r>
      <w:r w:rsidR="00FE2BE8">
        <w:fldChar w:fldCharType="separate"/>
      </w:r>
      <w:r w:rsidR="00FE2BE8" w:rsidRPr="00681EF9">
        <w:rPr>
          <w:rFonts w:ascii="Calibri" w:hAnsi="Calibri" w:cs="Calibri"/>
        </w:rPr>
        <w:t xml:space="preserve">(Bradfield &amp; Porter, 1982; </w:t>
      </w:r>
      <w:proofErr w:type="spellStart"/>
      <w:r w:rsidR="00FE2BE8" w:rsidRPr="00681EF9">
        <w:rPr>
          <w:rFonts w:ascii="Calibri" w:hAnsi="Calibri" w:cs="Calibri"/>
        </w:rPr>
        <w:t>Denoth</w:t>
      </w:r>
      <w:proofErr w:type="spellEnd"/>
      <w:r w:rsidR="00FE2BE8" w:rsidRPr="00681EF9">
        <w:rPr>
          <w:rFonts w:ascii="Calibri" w:hAnsi="Calibri" w:cs="Calibri"/>
        </w:rPr>
        <w:t xml:space="preserve"> &amp; Myers, 2007)</w:t>
      </w:r>
      <w:r w:rsidR="00FE2BE8">
        <w:fldChar w:fldCharType="end"/>
      </w:r>
      <w:r>
        <w:t xml:space="preserve"> </w:t>
      </w:r>
      <w:r w:rsidR="00FE2BE8">
        <w:t>used similar methods to document</w:t>
      </w:r>
      <w:r>
        <w:t xml:space="preserve"> floristic diversity, which provides the opportunity to repeat observations </w:t>
      </w:r>
      <w:r w:rsidR="00CB18BB">
        <w:t>and</w:t>
      </w:r>
      <w:r>
        <w:t xml:space="preserve"> characterize long-term plant community changes.</w:t>
      </w:r>
    </w:p>
    <w:p w14:paraId="674BC3EA" w14:textId="779297BD" w:rsidR="006C5D18" w:rsidRDefault="00DC5555" w:rsidP="006C5D18">
      <w:pPr>
        <w:pStyle w:val="ListParagraph"/>
        <w:numPr>
          <w:ilvl w:val="0"/>
          <w:numId w:val="4"/>
        </w:numPr>
      </w:pPr>
      <w:r>
        <w:t xml:space="preserve">The main objective of this work is to </w:t>
      </w:r>
      <w:r w:rsidR="008358B4">
        <w:t xml:space="preserve">infer </w:t>
      </w:r>
      <w:r w:rsidR="00E42D7D">
        <w:t xml:space="preserve">stability of </w:t>
      </w:r>
      <w:r w:rsidR="009B46F9">
        <w:t xml:space="preserve">plant community </w:t>
      </w:r>
      <w:r w:rsidR="00E42D7D">
        <w:t>compositional structure</w:t>
      </w:r>
      <w:r w:rsidR="009B46F9">
        <w:t xml:space="preserve"> </w:t>
      </w:r>
      <w:r w:rsidR="00D502A8">
        <w:t xml:space="preserve">in the absence of </w:t>
      </w:r>
      <w:commentRangeStart w:id="3"/>
      <w:r w:rsidR="00E76A6B">
        <w:t>direct disturbance</w:t>
      </w:r>
      <w:commentRangeEnd w:id="3"/>
      <w:r w:rsidR="00722C6E">
        <w:rPr>
          <w:rStyle w:val="CommentReference"/>
        </w:rPr>
        <w:commentReference w:id="3"/>
      </w:r>
      <w:r w:rsidR="00D502A8">
        <w:t xml:space="preserve"> </w:t>
      </w:r>
      <w:r w:rsidR="009B46F9">
        <w:t>in a</w:t>
      </w:r>
      <w:r w:rsidR="00B86420">
        <w:t xml:space="preserve"> tidal freshwater marsh. </w:t>
      </w:r>
      <w:r w:rsidR="007A161D">
        <w:t xml:space="preserve">I used </w:t>
      </w:r>
      <w:r w:rsidR="007A161D">
        <w:t>three observational datasets spanning four decades to</w:t>
      </w:r>
      <w:r w:rsidR="007A161D">
        <w:t xml:space="preserve"> answer the following questions: </w:t>
      </w:r>
    </w:p>
    <w:p w14:paraId="4F03FDF0" w14:textId="288FD057" w:rsidR="00D22138" w:rsidRDefault="00365200" w:rsidP="006C5D18">
      <w:pPr>
        <w:pStyle w:val="ListParagraph"/>
        <w:numPr>
          <w:ilvl w:val="0"/>
          <w:numId w:val="2"/>
        </w:numPr>
      </w:pPr>
      <w:r>
        <w:t>Are</w:t>
      </w:r>
      <w:r w:rsidR="00063E63">
        <w:t xml:space="preserve"> assemblages are still characterized by the same dominant species</w:t>
      </w:r>
      <w:r>
        <w:t>?</w:t>
      </w:r>
      <w:r w:rsidR="00063E63">
        <w:t xml:space="preserve"> </w:t>
      </w:r>
    </w:p>
    <w:p w14:paraId="73AC8FFC" w14:textId="599F2E9A" w:rsidR="00063E63" w:rsidRDefault="00063E63" w:rsidP="00063E63">
      <w:pPr>
        <w:pStyle w:val="ListParagraph"/>
        <w:numPr>
          <w:ilvl w:val="1"/>
          <w:numId w:val="2"/>
        </w:numPr>
      </w:pPr>
      <w:r>
        <w:t xml:space="preserve">In the absence of significant </w:t>
      </w:r>
      <w:r w:rsidR="000766B8">
        <w:t>environmental disturbance, I</w:t>
      </w:r>
      <w:r>
        <w:t xml:space="preserve"> expect the same species to dominate each assemblage as identified by Bradfield &amp; Porter (1982). </w:t>
      </w:r>
    </w:p>
    <w:p w14:paraId="704CEFAA" w14:textId="30386848" w:rsidR="006C5D18" w:rsidRDefault="002E58E8" w:rsidP="006C5D18">
      <w:pPr>
        <w:pStyle w:val="ListParagraph"/>
        <w:numPr>
          <w:ilvl w:val="0"/>
          <w:numId w:val="2"/>
        </w:numPr>
      </w:pPr>
      <w:commentRangeStart w:id="4"/>
      <w:r>
        <w:t>Is</w:t>
      </w:r>
      <w:commentRangeEnd w:id="4"/>
      <w:r w:rsidR="007C65DB">
        <w:rPr>
          <w:rStyle w:val="CommentReference"/>
        </w:rPr>
        <w:commentReference w:id="4"/>
      </w:r>
      <w:r>
        <w:t xml:space="preserve"> diversity stable b</w:t>
      </w:r>
      <w:r w:rsidR="00AD1920">
        <w:t xml:space="preserve">etween </w:t>
      </w:r>
      <w:r w:rsidR="00E10A2E">
        <w:t>assemblage</w:t>
      </w:r>
      <w:r w:rsidR="00AD1920">
        <w:t xml:space="preserve"> types</w:t>
      </w:r>
      <w:r w:rsidR="00365200">
        <w:t>?</w:t>
      </w:r>
    </w:p>
    <w:p w14:paraId="0F551734" w14:textId="4C524ED6" w:rsidR="00F15F7E" w:rsidRDefault="00E10A2E" w:rsidP="002E58E8">
      <w:pPr>
        <w:pStyle w:val="ListParagraph"/>
        <w:numPr>
          <w:ilvl w:val="1"/>
          <w:numId w:val="2"/>
        </w:numPr>
      </w:pPr>
      <w:r>
        <w:t>I</w:t>
      </w:r>
      <w:r w:rsidR="00C925CA">
        <w:t xml:space="preserve"> expect </w:t>
      </w:r>
      <w:r w:rsidR="00F15F7E">
        <w:t xml:space="preserve">assemblages should have similar </w:t>
      </w:r>
      <w:r w:rsidR="00BA22E1">
        <w:t xml:space="preserve">measures of dissimilarity (i.e., dendrograms </w:t>
      </w:r>
      <w:r w:rsidR="002D0C63">
        <w:t xml:space="preserve">1979-2019 </w:t>
      </w:r>
      <w:r w:rsidR="00BA22E1">
        <w:t xml:space="preserve">should </w:t>
      </w:r>
      <w:r w:rsidR="002D0C63">
        <w:t>look similar)</w:t>
      </w:r>
      <w:r w:rsidR="00C925CA">
        <w:t xml:space="preserve"> if assemblages are stable</w:t>
      </w:r>
      <w:r w:rsidR="002D0C63">
        <w:t xml:space="preserve">. </w:t>
      </w:r>
    </w:p>
    <w:p w14:paraId="05AF5680" w14:textId="294E8021" w:rsidR="000A3AB7" w:rsidRDefault="000A3AB7" w:rsidP="000A3AB7">
      <w:pPr>
        <w:pStyle w:val="ListParagraph"/>
        <w:numPr>
          <w:ilvl w:val="0"/>
          <w:numId w:val="2"/>
        </w:numPr>
      </w:pPr>
      <w:r>
        <w:t>Is diversity stable within assemblage types</w:t>
      </w:r>
      <w:r w:rsidR="007C65DB">
        <w:t>?</w:t>
      </w:r>
      <w:r>
        <w:t xml:space="preserve"> (i.e., are diversity </w:t>
      </w:r>
      <w:commentRangeStart w:id="5"/>
      <w:r>
        <w:t xml:space="preserve">metrics </w:t>
      </w:r>
      <w:commentRangeEnd w:id="5"/>
      <w:r>
        <w:rPr>
          <w:rStyle w:val="CommentReference"/>
        </w:rPr>
        <w:commentReference w:id="5"/>
      </w:r>
      <w:r>
        <w:t xml:space="preserve">measured in 2019 comparable to </w:t>
      </w:r>
      <w:r w:rsidR="00E66484">
        <w:t xml:space="preserve">1999 and/or </w:t>
      </w:r>
      <w:r>
        <w:t>1979?)</w:t>
      </w:r>
    </w:p>
    <w:p w14:paraId="0CA75178" w14:textId="4837CCC3" w:rsidR="000A3AB7" w:rsidRDefault="000A3AB7" w:rsidP="000A3AB7">
      <w:pPr>
        <w:pStyle w:val="ListParagraph"/>
        <w:numPr>
          <w:ilvl w:val="1"/>
          <w:numId w:val="2"/>
        </w:numPr>
      </w:pPr>
      <w:r>
        <w:t xml:space="preserve">I expect assemblages should have similar </w:t>
      </w:r>
      <w:r>
        <w:rPr>
          <w:rFonts w:cstheme="minorHAnsi"/>
        </w:rPr>
        <w:t>α</w:t>
      </w:r>
      <w:r>
        <w:t xml:space="preserve">- and </w:t>
      </w:r>
      <w:r>
        <w:rPr>
          <w:rFonts w:cstheme="minorHAnsi"/>
        </w:rPr>
        <w:t>β</w:t>
      </w:r>
      <w:r>
        <w:t xml:space="preserve">-diversity if assemblages are stable. </w:t>
      </w:r>
    </w:p>
    <w:p w14:paraId="43277E5A" w14:textId="06737621" w:rsidR="002E58E8" w:rsidRDefault="00122537" w:rsidP="002E58E8">
      <w:pPr>
        <w:pStyle w:val="ListParagraph"/>
        <w:numPr>
          <w:ilvl w:val="0"/>
          <w:numId w:val="2"/>
        </w:numPr>
      </w:pPr>
      <w:r>
        <w:t>Which</w:t>
      </w:r>
      <w:r w:rsidR="002E58E8">
        <w:t xml:space="preserve"> </w:t>
      </w:r>
      <w:r w:rsidR="00E76A6B">
        <w:t xml:space="preserve">species are gained or lost that drive changes in assemblage diversity? </w:t>
      </w:r>
    </w:p>
    <w:p w14:paraId="25F63456" w14:textId="71BA312B" w:rsidR="00E76A6B" w:rsidRDefault="002C55D8" w:rsidP="00E76A6B">
      <w:pPr>
        <w:pStyle w:val="ListParagraph"/>
        <w:numPr>
          <w:ilvl w:val="1"/>
          <w:numId w:val="2"/>
        </w:numPr>
      </w:pPr>
      <w:r>
        <w:t xml:space="preserve">If </w:t>
      </w:r>
      <w:r w:rsidR="00C925CA">
        <w:t>assemblages have greater species homogenization</w:t>
      </w:r>
      <w:r>
        <w:t xml:space="preserve"> within assemblages, I expect it to be driven by </w:t>
      </w:r>
      <w:r>
        <w:t>significant invasive species abundance</w:t>
      </w:r>
      <w:r>
        <w:t>.</w:t>
      </w:r>
    </w:p>
    <w:p w14:paraId="6DAE2DB3" w14:textId="77777777" w:rsidR="000766B8" w:rsidRDefault="000766B8">
      <w:pPr>
        <w:rPr>
          <w:rFonts w:asciiTheme="majorHAnsi" w:eastAsiaTheme="majorEastAsia" w:hAnsiTheme="majorHAnsi" w:cstheme="majorBidi"/>
          <w:color w:val="2F5496" w:themeColor="accent1" w:themeShade="BF"/>
          <w:sz w:val="32"/>
          <w:szCs w:val="32"/>
        </w:rPr>
      </w:pPr>
      <w:r>
        <w:br w:type="page"/>
      </w:r>
    </w:p>
    <w:p w14:paraId="3AEE9D35" w14:textId="65D9C02B" w:rsidR="0022363E" w:rsidRDefault="0022363E" w:rsidP="006C5D18">
      <w:pPr>
        <w:pStyle w:val="Heading1"/>
      </w:pPr>
      <w:r>
        <w:lastRenderedPageBreak/>
        <w:t>Methods</w:t>
      </w:r>
    </w:p>
    <w:p w14:paraId="578C93AC" w14:textId="5808E242" w:rsidR="006B4D7D" w:rsidRDefault="006B4D7D" w:rsidP="006B4D7D">
      <w:pPr>
        <w:pStyle w:val="ListParagraph"/>
        <w:numPr>
          <w:ilvl w:val="0"/>
          <w:numId w:val="4"/>
        </w:numPr>
      </w:pPr>
      <w:r>
        <w:t>Site context &amp; plot selection composite figure; show overlay of 2019 transects on line drawing site figure from Bradfield &amp; Porter (1982)? (Figure 1)</w:t>
      </w:r>
    </w:p>
    <w:p w14:paraId="67DCF51C" w14:textId="01B39882" w:rsidR="00FC1CB8" w:rsidRDefault="00FC1CB8" w:rsidP="006B4D7D">
      <w:pPr>
        <w:pStyle w:val="ListParagraph"/>
        <w:numPr>
          <w:ilvl w:val="0"/>
          <w:numId w:val="4"/>
        </w:numPr>
      </w:pPr>
      <w:r>
        <w:t>Field methods</w:t>
      </w:r>
      <w:r w:rsidR="00B5315A">
        <w:t xml:space="preserve"> </w:t>
      </w:r>
    </w:p>
    <w:p w14:paraId="6A02CA92" w14:textId="3CAB19C8" w:rsidR="00FC1CB8" w:rsidRDefault="00FC1CB8" w:rsidP="00FC1CB8">
      <w:pPr>
        <w:pStyle w:val="ListParagraph"/>
        <w:numPr>
          <w:ilvl w:val="1"/>
          <w:numId w:val="4"/>
        </w:numPr>
      </w:pPr>
      <w:r>
        <w:t xml:space="preserve">Historical data collection &amp; </w:t>
      </w:r>
      <w:r w:rsidR="006A7EBD">
        <w:t>site relocation</w:t>
      </w:r>
      <w:r w:rsidR="002F27E1">
        <w:t xml:space="preserve">. </w:t>
      </w:r>
    </w:p>
    <w:p w14:paraId="26D374CB" w14:textId="5B01DB33" w:rsidR="00FC1CB8" w:rsidRDefault="006A7EBD" w:rsidP="00FC1CB8">
      <w:pPr>
        <w:pStyle w:val="ListParagraph"/>
        <w:numPr>
          <w:ilvl w:val="1"/>
          <w:numId w:val="4"/>
        </w:numPr>
      </w:pPr>
      <w:r>
        <w:t>Present data collection methods</w:t>
      </w:r>
      <w:r w:rsidR="002F27E1">
        <w:t>, with estimation of transect accuracy statement.</w:t>
      </w:r>
    </w:p>
    <w:p w14:paraId="7143098B" w14:textId="02BAA5EF" w:rsidR="007D3502" w:rsidRDefault="007D3502" w:rsidP="007D3502">
      <w:pPr>
        <w:pStyle w:val="ListParagraph"/>
        <w:numPr>
          <w:ilvl w:val="2"/>
          <w:numId w:val="4"/>
        </w:numPr>
      </w:pPr>
      <w:r>
        <w:t>Taxonomy</w:t>
      </w:r>
    </w:p>
    <w:p w14:paraId="38EC70D3" w14:textId="3C743D4F" w:rsidR="007D3502" w:rsidRDefault="007D3502" w:rsidP="006B4D7D">
      <w:pPr>
        <w:pStyle w:val="ListParagraph"/>
        <w:numPr>
          <w:ilvl w:val="0"/>
          <w:numId w:val="4"/>
        </w:numPr>
      </w:pPr>
      <w:r>
        <w:t>Statistical analyses (describe in same order as Questions/Results)</w:t>
      </w:r>
    </w:p>
    <w:p w14:paraId="1546C8A8" w14:textId="4D7C699C" w:rsidR="006B4D7D" w:rsidRDefault="006B4D7D" w:rsidP="007D3502">
      <w:pPr>
        <w:pStyle w:val="ListParagraph"/>
        <w:numPr>
          <w:ilvl w:val="1"/>
          <w:numId w:val="4"/>
        </w:numPr>
      </w:pPr>
      <w:r>
        <w:t>I chose specific tests/metrics (</w:t>
      </w:r>
      <w:r w:rsidRPr="006229F7">
        <w:rPr>
          <w:rFonts w:cstheme="minorHAnsi"/>
        </w:rPr>
        <w:t>α</w:t>
      </w:r>
      <w:r>
        <w:t xml:space="preserve">- and </w:t>
      </w:r>
      <w:r w:rsidRPr="006229F7">
        <w:rPr>
          <w:rFonts w:cstheme="minorHAnsi"/>
        </w:rPr>
        <w:t>β</w:t>
      </w:r>
      <w:r>
        <w:t xml:space="preserve">-diversity, cluster analysis w/ Euclidean distance) to be similar to Bradfield &amp; Porter (1982). I used indicator species analysis to determine species dominating each assemblage in cluster analysis. </w:t>
      </w:r>
    </w:p>
    <w:p w14:paraId="77227CD9" w14:textId="2BFE480E" w:rsidR="002E39F4" w:rsidRDefault="002E39F4" w:rsidP="002E39F4">
      <w:pPr>
        <w:pStyle w:val="ListParagraph"/>
        <w:numPr>
          <w:ilvl w:val="1"/>
          <w:numId w:val="4"/>
        </w:numPr>
      </w:pPr>
      <w:r>
        <w:t>(1</w:t>
      </w:r>
      <w:r w:rsidR="000A3AB7">
        <w:t xml:space="preserve"> &amp; 2</w:t>
      </w:r>
      <w:r>
        <w:t xml:space="preserve">) cluster analysis to group sampling plots into three assemblages, then species indicator analysis to define the dominant </w:t>
      </w:r>
      <w:r w:rsidR="000A3AB7">
        <w:t>species in each assemblage</w:t>
      </w:r>
    </w:p>
    <w:p w14:paraId="14809CB9" w14:textId="7C347F40" w:rsidR="000A3AB7" w:rsidRDefault="000A3AB7" w:rsidP="002E39F4">
      <w:pPr>
        <w:pStyle w:val="ListParagraph"/>
        <w:numPr>
          <w:ilvl w:val="1"/>
          <w:numId w:val="4"/>
        </w:numPr>
      </w:pPr>
      <w:r>
        <w:t xml:space="preserve">(3) </w:t>
      </w:r>
      <w:r w:rsidRPr="006229F7">
        <w:rPr>
          <w:rFonts w:cstheme="minorHAnsi"/>
        </w:rPr>
        <w:t>α</w:t>
      </w:r>
      <w:r>
        <w:t xml:space="preserve">- and </w:t>
      </w:r>
      <w:r w:rsidRPr="006229F7">
        <w:rPr>
          <w:rFonts w:cstheme="minorHAnsi"/>
        </w:rPr>
        <w:t>β</w:t>
      </w:r>
      <w:r>
        <w:t>-diversity</w:t>
      </w:r>
    </w:p>
    <w:p w14:paraId="0502B463" w14:textId="409FA72F" w:rsidR="006B4D7D" w:rsidRDefault="006B4D7D" w:rsidP="002E39F4">
      <w:pPr>
        <w:pStyle w:val="ListParagraph"/>
        <w:numPr>
          <w:ilvl w:val="1"/>
          <w:numId w:val="4"/>
        </w:numPr>
      </w:pPr>
      <w:r>
        <w:t>(4) &lt;</w:t>
      </w:r>
      <w:r>
        <w:rPr>
          <w:i/>
        </w:rPr>
        <w:t>needs to be done – currently have only a stacked bar chart&gt;</w:t>
      </w:r>
    </w:p>
    <w:p w14:paraId="7F4BA270" w14:textId="77777777" w:rsidR="00B051DD" w:rsidRDefault="00B051DD" w:rsidP="00B051DD">
      <w:pPr>
        <w:keepNext/>
      </w:pPr>
      <w:r>
        <w:rPr>
          <w:noProof/>
        </w:rPr>
        <w:drawing>
          <wp:inline distT="0" distB="0" distL="0" distR="0" wp14:anchorId="69B97DA0" wp14:editId="5A122C00">
            <wp:extent cx="5926347" cy="3406715"/>
            <wp:effectExtent l="19050" t="19050" r="1778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6164" cy="3418107"/>
                    </a:xfrm>
                    <a:prstGeom prst="rect">
                      <a:avLst/>
                    </a:prstGeom>
                    <a:noFill/>
                    <a:ln w="19050">
                      <a:solidFill>
                        <a:schemeClr val="tx1"/>
                      </a:solidFill>
                    </a:ln>
                  </pic:spPr>
                </pic:pic>
              </a:graphicData>
            </a:graphic>
          </wp:inline>
        </w:drawing>
      </w:r>
    </w:p>
    <w:p w14:paraId="5A1A75BF" w14:textId="08E5582D" w:rsidR="00B051DD" w:rsidRDefault="00B051DD" w:rsidP="00B051DD">
      <w:pPr>
        <w:pStyle w:val="Caption"/>
      </w:pPr>
      <w:r>
        <w:t xml:space="preserve">Figure </w:t>
      </w:r>
      <w:r>
        <w:fldChar w:fldCharType="begin"/>
      </w:r>
      <w:r>
        <w:instrText xml:space="preserve"> SEQ Figure \* ARABIC </w:instrText>
      </w:r>
      <w:r>
        <w:fldChar w:fldCharType="separate"/>
      </w:r>
      <w:r>
        <w:rPr>
          <w:noProof/>
        </w:rPr>
        <w:t>1</w:t>
      </w:r>
      <w:r>
        <w:fldChar w:fldCharType="end"/>
      </w:r>
      <w:r>
        <w:t>. Clockwise</w:t>
      </w:r>
      <w:r w:rsidR="00DB370D">
        <w:t xml:space="preserve"> from top left</w:t>
      </w:r>
      <w:r>
        <w:t xml:space="preserve">: Geographical site context, </w:t>
      </w:r>
      <w:r>
        <w:rPr>
          <w:noProof/>
        </w:rPr>
        <w:t>transect relocation method</w:t>
      </w:r>
      <w:r w:rsidR="009E33B6">
        <w:rPr>
          <w:noProof/>
        </w:rPr>
        <w:t xml:space="preserve"> by overlaying </w:t>
      </w:r>
      <w:r w:rsidR="00AE42C1">
        <w:rPr>
          <w:noProof/>
        </w:rPr>
        <w:t>1982 publication figure onto Google Earth basemap, and field-testing accessibility</w:t>
      </w:r>
      <w:r>
        <w:rPr>
          <w:noProof/>
        </w:rPr>
        <w:t>, and plot sampling design.</w:t>
      </w:r>
    </w:p>
    <w:p w14:paraId="1EBD7C67" w14:textId="77777777" w:rsidR="00764D94" w:rsidRDefault="00764D94">
      <w:pPr>
        <w:rPr>
          <w:rFonts w:asciiTheme="majorHAnsi" w:eastAsiaTheme="majorEastAsia" w:hAnsiTheme="majorHAnsi" w:cstheme="majorBidi"/>
          <w:color w:val="2F5496" w:themeColor="accent1" w:themeShade="BF"/>
          <w:sz w:val="32"/>
          <w:szCs w:val="32"/>
        </w:rPr>
      </w:pPr>
      <w:r>
        <w:br w:type="page"/>
      </w:r>
    </w:p>
    <w:p w14:paraId="6B4F897E" w14:textId="420D9943" w:rsidR="006C5D18" w:rsidRDefault="006C5D18" w:rsidP="006C5D18">
      <w:pPr>
        <w:pStyle w:val="Heading1"/>
      </w:pPr>
      <w:r>
        <w:lastRenderedPageBreak/>
        <w:t>Results</w:t>
      </w:r>
    </w:p>
    <w:p w14:paraId="38685B8D" w14:textId="7C3FBC97" w:rsidR="006B4D7D" w:rsidRDefault="006B4D7D" w:rsidP="006B4D7D">
      <w:pPr>
        <w:pStyle w:val="ListParagraph"/>
        <w:numPr>
          <w:ilvl w:val="0"/>
          <w:numId w:val="1"/>
        </w:numPr>
      </w:pPr>
      <w:r>
        <w:t xml:space="preserve">Species indicator analysis of </w:t>
      </w:r>
      <w:r w:rsidR="00764D94">
        <w:t xml:space="preserve">cluster analysis shows each assemblage is dominated by the same species in each dataset (Supplement). </w:t>
      </w:r>
    </w:p>
    <w:p w14:paraId="30A1590A" w14:textId="07FAB7C3" w:rsidR="006B4D7D" w:rsidRDefault="006B4D7D" w:rsidP="006B4D7D">
      <w:pPr>
        <w:pStyle w:val="ListParagraph"/>
        <w:numPr>
          <w:ilvl w:val="0"/>
          <w:numId w:val="1"/>
        </w:numPr>
      </w:pPr>
      <w:r>
        <w:t>There is greater dissimilarity, as shown by greater Euclidean distance, between assemblage types over time. This indicates each assemblage type is becoming more distinct; species homogenization not happening at community scale.  (Figure 2)</w:t>
      </w:r>
    </w:p>
    <w:p w14:paraId="6A7F4C5C" w14:textId="3CE71418" w:rsidR="006B4D7D" w:rsidRDefault="006B4D7D" w:rsidP="006B4D7D">
      <w:pPr>
        <w:pStyle w:val="ListParagraph"/>
        <w:numPr>
          <w:ilvl w:val="1"/>
          <w:numId w:val="1"/>
        </w:numPr>
      </w:pPr>
      <w:r>
        <w:t xml:space="preserve">Decreasing dissimilarity, as shown by less Euclidean distance, </w:t>
      </w:r>
      <w:r>
        <w:rPr>
          <w:i/>
        </w:rPr>
        <w:t>within</w:t>
      </w:r>
      <w:r>
        <w:t xml:space="preserve"> assemblage types. Species homogenization may be happening at plot scale within an assemblage type. </w:t>
      </w:r>
    </w:p>
    <w:p w14:paraId="4CF0ADA8" w14:textId="5480C12A" w:rsidR="00CE440B" w:rsidRDefault="00AE6672" w:rsidP="006C5D18">
      <w:pPr>
        <w:pStyle w:val="ListParagraph"/>
        <w:numPr>
          <w:ilvl w:val="0"/>
          <w:numId w:val="1"/>
        </w:numPr>
      </w:pPr>
      <w:r>
        <w:t xml:space="preserve">Sedge assemblage has </w:t>
      </w:r>
      <w:r w:rsidR="007D1510">
        <w:t>most ‘stable’</w:t>
      </w:r>
      <w:r>
        <w:rPr>
          <w:rFonts w:cstheme="minorHAnsi"/>
        </w:rPr>
        <w:t>α</w:t>
      </w:r>
      <w:r>
        <w:t>-diversity</w:t>
      </w:r>
      <w:r w:rsidR="00160B87">
        <w:t xml:space="preserve">, somewhat similar in </w:t>
      </w:r>
      <w:r w:rsidR="00056084">
        <w:t xml:space="preserve">bogbean assemblage (although losing </w:t>
      </w:r>
      <w:r>
        <w:rPr>
          <w:rFonts w:cstheme="minorHAnsi"/>
        </w:rPr>
        <w:t>α</w:t>
      </w:r>
      <w:r>
        <w:t xml:space="preserve">-diversity), and greatest loss of </w:t>
      </w:r>
      <w:r>
        <w:rPr>
          <w:rFonts w:cstheme="minorHAnsi"/>
        </w:rPr>
        <w:t>α</w:t>
      </w:r>
      <w:r>
        <w:t>-diversity in fescue assemblage</w:t>
      </w:r>
      <w:r w:rsidR="001E759C">
        <w:t xml:space="preserve"> (Table 1)</w:t>
      </w:r>
      <w:r>
        <w:t xml:space="preserve">. </w:t>
      </w:r>
    </w:p>
    <w:p w14:paraId="7E1C3174" w14:textId="47CB5C4E" w:rsidR="00A6698C" w:rsidRDefault="00A6698C" w:rsidP="00A6698C">
      <w:pPr>
        <w:pStyle w:val="ListParagraph"/>
        <w:numPr>
          <w:ilvl w:val="1"/>
          <w:numId w:val="1"/>
        </w:numPr>
      </w:pPr>
      <w:r>
        <w:t xml:space="preserve">Need a way to interpret </w:t>
      </w:r>
      <w:r>
        <w:rPr>
          <w:rFonts w:cstheme="minorHAnsi"/>
        </w:rPr>
        <w:t>β</w:t>
      </w:r>
      <w:r>
        <w:t xml:space="preserve">-diversity.  </w:t>
      </w:r>
    </w:p>
    <w:p w14:paraId="18444811" w14:textId="7CD8BD66" w:rsidR="006C5D18" w:rsidRDefault="00130DE3" w:rsidP="006C5D18">
      <w:pPr>
        <w:pStyle w:val="ListParagraph"/>
        <w:numPr>
          <w:ilvl w:val="0"/>
          <w:numId w:val="1"/>
        </w:numPr>
      </w:pPr>
      <w:r>
        <w:t>Different patterns of invasive species encroachment are observed</w:t>
      </w:r>
      <w:r w:rsidR="00DB669B">
        <w:t xml:space="preserve"> across time</w:t>
      </w:r>
      <w:r>
        <w:t xml:space="preserve">: </w:t>
      </w:r>
      <w:r w:rsidR="00EA1201">
        <w:t xml:space="preserve">invasive abundance remains similar </w:t>
      </w:r>
      <w:r w:rsidR="00DB669B">
        <w:t xml:space="preserve">(on average) </w:t>
      </w:r>
      <w:r w:rsidR="00EA1201">
        <w:t xml:space="preserve">in bogbean assemblage, increases steadily in sedge assemblage, and </w:t>
      </w:r>
      <w:r w:rsidR="00DB669B">
        <w:t xml:space="preserve">more than doubles in fescue assemblage. </w:t>
      </w:r>
      <w:r w:rsidR="001E759C">
        <w:t>(Figure 3)</w:t>
      </w:r>
    </w:p>
    <w:p w14:paraId="3F1656BE" w14:textId="2512A918" w:rsidR="00B57785" w:rsidRDefault="002505BD" w:rsidP="00B57785">
      <w:pPr>
        <w:pStyle w:val="ListParagraph"/>
        <w:numPr>
          <w:ilvl w:val="1"/>
          <w:numId w:val="1"/>
        </w:numPr>
      </w:pPr>
      <w:r>
        <w:t xml:space="preserve">Pending further analysis, discuss specific species gained/lost. </w:t>
      </w:r>
    </w:p>
    <w:p w14:paraId="148443DA" w14:textId="665A45D2" w:rsidR="00C94867" w:rsidRDefault="00C94867">
      <w:pPr>
        <w:rPr>
          <w:i/>
          <w:iCs/>
          <w:color w:val="44546A" w:themeColor="text2"/>
          <w:sz w:val="18"/>
          <w:szCs w:val="18"/>
        </w:rPr>
      </w:pPr>
    </w:p>
    <w:p w14:paraId="1882EF2D" w14:textId="6B14B583" w:rsidR="00041623" w:rsidRDefault="00041623" w:rsidP="00041623">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Fescue assemblage has half </w:t>
      </w:r>
      <w:r>
        <w:rPr>
          <w:noProof/>
        </w:rPr>
        <w:t>the a-diversity in 2019 as in 1979, but B-diversity remains similar. Need to make sure these analyses approach is more clear in methods; I thought PERMDISP/PERMANOVA</w:t>
      </w:r>
      <w:r w:rsidR="00D81CB7">
        <w:rPr>
          <w:noProof/>
        </w:rPr>
        <w:t xml:space="preserve"> (shown in draft at reatreat)</w:t>
      </w:r>
      <w:r>
        <w:rPr>
          <w:noProof/>
        </w:rPr>
        <w:t xml:space="preserve"> was </w:t>
      </w:r>
      <w:r w:rsidR="00D81CB7">
        <w:rPr>
          <w:noProof/>
        </w:rPr>
        <w:t>a way to test differences within an assemblage between datasets</w:t>
      </w:r>
      <w:r>
        <w:rPr>
          <w:noProof/>
        </w:rPr>
        <w:t>.</w:t>
      </w:r>
    </w:p>
    <w:tbl>
      <w:tblPr>
        <w:tblW w:w="9012" w:type="dxa"/>
        <w:tblLook w:val="04A0" w:firstRow="1" w:lastRow="0" w:firstColumn="1" w:lastColumn="0" w:noHBand="0" w:noVBand="1"/>
      </w:tblPr>
      <w:tblGrid>
        <w:gridCol w:w="2022"/>
        <w:gridCol w:w="1664"/>
        <w:gridCol w:w="1462"/>
        <w:gridCol w:w="522"/>
        <w:gridCol w:w="1671"/>
        <w:gridCol w:w="1671"/>
      </w:tblGrid>
      <w:tr w:rsidR="00B0684C" w:rsidRPr="001424E2" w14:paraId="31B7D962" w14:textId="77777777" w:rsidTr="00353F7C">
        <w:trPr>
          <w:trHeight w:val="304"/>
        </w:trPr>
        <w:tc>
          <w:tcPr>
            <w:tcW w:w="2022" w:type="dxa"/>
            <w:tcBorders>
              <w:top w:val="single" w:sz="8" w:space="0" w:color="7F7F7F"/>
              <w:left w:val="nil"/>
              <w:bottom w:val="single" w:sz="8" w:space="0" w:color="7F7F7F"/>
              <w:right w:val="nil"/>
            </w:tcBorders>
            <w:shd w:val="clear" w:color="auto" w:fill="auto"/>
            <w:noWrap/>
            <w:hideMark/>
          </w:tcPr>
          <w:p w14:paraId="2C49C64C" w14:textId="77777777" w:rsidR="00B0684C" w:rsidRPr="001424E2" w:rsidRDefault="00B0684C" w:rsidP="005211A7">
            <w:pPr>
              <w:rPr>
                <w:rFonts w:ascii="Calibri" w:eastAsia="Times New Roman" w:hAnsi="Calibri" w:cs="Calibri"/>
                <w:color w:val="000000"/>
              </w:rPr>
            </w:pPr>
            <w:r w:rsidRPr="001424E2">
              <w:rPr>
                <w:rFonts w:ascii="Calibri" w:eastAsia="Times New Roman" w:hAnsi="Calibri" w:cs="Calibri"/>
                <w:color w:val="000000"/>
              </w:rPr>
              <w:t> </w:t>
            </w:r>
          </w:p>
        </w:tc>
        <w:tc>
          <w:tcPr>
            <w:tcW w:w="3126" w:type="dxa"/>
            <w:gridSpan w:val="2"/>
            <w:tcBorders>
              <w:top w:val="single" w:sz="8" w:space="0" w:color="7F7F7F"/>
              <w:left w:val="nil"/>
              <w:bottom w:val="single" w:sz="8" w:space="0" w:color="7F7F7F"/>
              <w:right w:val="nil"/>
            </w:tcBorders>
            <w:shd w:val="clear" w:color="auto" w:fill="auto"/>
            <w:vAlign w:val="center"/>
            <w:hideMark/>
          </w:tcPr>
          <w:p w14:paraId="25492442"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Plot-level components</w:t>
            </w:r>
          </w:p>
        </w:tc>
        <w:tc>
          <w:tcPr>
            <w:tcW w:w="522" w:type="dxa"/>
            <w:tcBorders>
              <w:top w:val="nil"/>
              <w:left w:val="nil"/>
              <w:bottom w:val="nil"/>
              <w:right w:val="nil"/>
            </w:tcBorders>
            <w:shd w:val="clear" w:color="auto" w:fill="auto"/>
            <w:hideMark/>
          </w:tcPr>
          <w:p w14:paraId="0200B8DE"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3342" w:type="dxa"/>
            <w:gridSpan w:val="2"/>
            <w:tcBorders>
              <w:top w:val="single" w:sz="8" w:space="0" w:color="7F7F7F"/>
              <w:left w:val="nil"/>
              <w:bottom w:val="single" w:sz="8" w:space="0" w:color="7F7F7F"/>
              <w:right w:val="nil"/>
            </w:tcBorders>
            <w:shd w:val="clear" w:color="auto" w:fill="auto"/>
            <w:vAlign w:val="center"/>
            <w:hideMark/>
          </w:tcPr>
          <w:p w14:paraId="70C0DBA9"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Diversity components</w:t>
            </w:r>
          </w:p>
        </w:tc>
      </w:tr>
      <w:tr w:rsidR="00B0684C" w:rsidRPr="001424E2" w14:paraId="68B37760" w14:textId="77777777" w:rsidTr="00041623">
        <w:trPr>
          <w:trHeight w:val="530"/>
        </w:trPr>
        <w:tc>
          <w:tcPr>
            <w:tcW w:w="2022" w:type="dxa"/>
            <w:tcBorders>
              <w:top w:val="nil"/>
              <w:left w:val="nil"/>
              <w:bottom w:val="single" w:sz="8" w:space="0" w:color="7F7F7F"/>
              <w:right w:val="nil"/>
            </w:tcBorders>
            <w:shd w:val="clear" w:color="auto" w:fill="auto"/>
            <w:vAlign w:val="center"/>
            <w:hideMark/>
          </w:tcPr>
          <w:p w14:paraId="751B603C" w14:textId="3D3F4C22" w:rsidR="00B0684C" w:rsidRPr="001424E2" w:rsidRDefault="00D81CB7" w:rsidP="005211A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Assemblage Type</w:t>
            </w:r>
          </w:p>
        </w:tc>
        <w:tc>
          <w:tcPr>
            <w:tcW w:w="1664" w:type="dxa"/>
            <w:tcBorders>
              <w:top w:val="nil"/>
              <w:left w:val="nil"/>
              <w:bottom w:val="single" w:sz="8" w:space="0" w:color="7F7F7F"/>
              <w:right w:val="nil"/>
            </w:tcBorders>
            <w:shd w:val="clear" w:color="auto" w:fill="auto"/>
            <w:vAlign w:val="center"/>
            <w:hideMark/>
          </w:tcPr>
          <w:p w14:paraId="3647E39F" w14:textId="77777777" w:rsidR="00B0684C" w:rsidRPr="001424E2" w:rsidRDefault="00B0684C" w:rsidP="005211A7">
            <w:pPr>
              <w:spacing w:after="0" w:line="240" w:lineRule="auto"/>
              <w:jc w:val="center"/>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No. quadrats</w:t>
            </w:r>
          </w:p>
        </w:tc>
        <w:tc>
          <w:tcPr>
            <w:tcW w:w="1462" w:type="dxa"/>
            <w:tcBorders>
              <w:top w:val="nil"/>
              <w:left w:val="nil"/>
              <w:bottom w:val="single" w:sz="8" w:space="0" w:color="7F7F7F"/>
              <w:right w:val="nil"/>
            </w:tcBorders>
            <w:shd w:val="clear" w:color="auto" w:fill="auto"/>
            <w:vAlign w:val="center"/>
            <w:hideMark/>
          </w:tcPr>
          <w:p w14:paraId="7EF40E1E" w14:textId="77777777" w:rsidR="00B0684C" w:rsidRPr="001424E2" w:rsidRDefault="00B0684C" w:rsidP="005211A7">
            <w:pPr>
              <w:spacing w:after="0" w:line="240" w:lineRule="auto"/>
              <w:jc w:val="center"/>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Total no. species</w:t>
            </w:r>
          </w:p>
        </w:tc>
        <w:tc>
          <w:tcPr>
            <w:tcW w:w="522" w:type="dxa"/>
            <w:tcBorders>
              <w:top w:val="nil"/>
              <w:left w:val="nil"/>
              <w:bottom w:val="nil"/>
              <w:right w:val="nil"/>
            </w:tcBorders>
            <w:shd w:val="clear" w:color="auto" w:fill="auto"/>
            <w:hideMark/>
          </w:tcPr>
          <w:p w14:paraId="73CEA069" w14:textId="77777777" w:rsidR="00B0684C" w:rsidRPr="001424E2" w:rsidRDefault="00B0684C" w:rsidP="005211A7">
            <w:pPr>
              <w:spacing w:after="0" w:line="240" w:lineRule="auto"/>
              <w:jc w:val="center"/>
              <w:rPr>
                <w:rFonts w:ascii="Calibri" w:eastAsia="Times New Roman" w:hAnsi="Calibri" w:cs="Calibri"/>
                <w:b/>
                <w:bCs/>
                <w:color w:val="000000"/>
                <w:sz w:val="20"/>
                <w:szCs w:val="20"/>
              </w:rPr>
            </w:pPr>
          </w:p>
        </w:tc>
        <w:tc>
          <w:tcPr>
            <w:tcW w:w="1671" w:type="dxa"/>
            <w:tcBorders>
              <w:top w:val="nil"/>
              <w:left w:val="nil"/>
              <w:bottom w:val="single" w:sz="8" w:space="0" w:color="7F7F7F"/>
              <w:right w:val="nil"/>
            </w:tcBorders>
            <w:shd w:val="clear" w:color="auto" w:fill="auto"/>
            <w:vAlign w:val="center"/>
            <w:hideMark/>
          </w:tcPr>
          <w:p w14:paraId="58ECE4BD" w14:textId="77777777" w:rsidR="00B0684C" w:rsidRPr="001424E2" w:rsidRDefault="00B0684C" w:rsidP="005211A7">
            <w:pPr>
              <w:spacing w:after="0" w:line="240" w:lineRule="auto"/>
              <w:jc w:val="center"/>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α diversity</w:t>
            </w:r>
          </w:p>
        </w:tc>
        <w:tc>
          <w:tcPr>
            <w:tcW w:w="1671" w:type="dxa"/>
            <w:tcBorders>
              <w:top w:val="nil"/>
              <w:left w:val="nil"/>
              <w:bottom w:val="single" w:sz="8" w:space="0" w:color="7F7F7F"/>
              <w:right w:val="nil"/>
            </w:tcBorders>
            <w:shd w:val="clear" w:color="auto" w:fill="auto"/>
            <w:vAlign w:val="center"/>
            <w:hideMark/>
          </w:tcPr>
          <w:p w14:paraId="13100599" w14:textId="77777777" w:rsidR="00B0684C" w:rsidRPr="001424E2" w:rsidRDefault="00B0684C" w:rsidP="005211A7">
            <w:pPr>
              <w:spacing w:after="0" w:line="240" w:lineRule="auto"/>
              <w:jc w:val="center"/>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β diversity</w:t>
            </w:r>
          </w:p>
        </w:tc>
      </w:tr>
      <w:tr w:rsidR="00B0684C" w:rsidRPr="001424E2" w14:paraId="14006F75" w14:textId="77777777" w:rsidTr="00041623">
        <w:trPr>
          <w:trHeight w:val="530"/>
        </w:trPr>
        <w:tc>
          <w:tcPr>
            <w:tcW w:w="2022" w:type="dxa"/>
            <w:tcBorders>
              <w:top w:val="nil"/>
              <w:left w:val="nil"/>
              <w:bottom w:val="nil"/>
              <w:right w:val="nil"/>
            </w:tcBorders>
            <w:shd w:val="clear" w:color="auto" w:fill="auto"/>
            <w:vAlign w:val="center"/>
            <w:hideMark/>
          </w:tcPr>
          <w:p w14:paraId="47F791F0" w14:textId="77777777" w:rsidR="00B0684C" w:rsidRPr="001424E2" w:rsidRDefault="00B0684C" w:rsidP="005211A7">
            <w:pPr>
              <w:spacing w:after="0" w:line="240" w:lineRule="auto"/>
              <w:rPr>
                <w:rFonts w:ascii="Calibri" w:eastAsia="Times New Roman" w:hAnsi="Calibri" w:cs="Calibri"/>
                <w:color w:val="000000"/>
                <w:sz w:val="20"/>
                <w:szCs w:val="20"/>
              </w:rPr>
            </w:pPr>
            <w:r w:rsidRPr="001424E2">
              <w:rPr>
                <w:rFonts w:ascii="Calibri" w:eastAsia="Times New Roman" w:hAnsi="Calibri" w:cs="Calibri"/>
                <w:color w:val="000000"/>
                <w:sz w:val="20"/>
                <w:szCs w:val="20"/>
              </w:rPr>
              <w:t>Lyngbye's sedge</w:t>
            </w:r>
          </w:p>
        </w:tc>
        <w:tc>
          <w:tcPr>
            <w:tcW w:w="1664" w:type="dxa"/>
            <w:tcBorders>
              <w:top w:val="nil"/>
              <w:left w:val="nil"/>
              <w:bottom w:val="nil"/>
              <w:right w:val="nil"/>
            </w:tcBorders>
            <w:shd w:val="clear" w:color="auto" w:fill="auto"/>
            <w:noWrap/>
            <w:hideMark/>
          </w:tcPr>
          <w:p w14:paraId="7FA68BE2" w14:textId="77777777" w:rsidR="00B0684C" w:rsidRPr="001424E2" w:rsidRDefault="00B0684C" w:rsidP="005211A7">
            <w:pPr>
              <w:spacing w:after="0" w:line="240" w:lineRule="auto"/>
              <w:rPr>
                <w:rFonts w:ascii="Calibri" w:eastAsia="Times New Roman" w:hAnsi="Calibri" w:cs="Calibri"/>
                <w:color w:val="000000"/>
                <w:sz w:val="20"/>
                <w:szCs w:val="20"/>
              </w:rPr>
            </w:pPr>
          </w:p>
        </w:tc>
        <w:tc>
          <w:tcPr>
            <w:tcW w:w="1462" w:type="dxa"/>
            <w:tcBorders>
              <w:top w:val="nil"/>
              <w:left w:val="nil"/>
              <w:bottom w:val="nil"/>
              <w:right w:val="nil"/>
            </w:tcBorders>
            <w:shd w:val="clear" w:color="auto" w:fill="auto"/>
            <w:noWrap/>
            <w:hideMark/>
          </w:tcPr>
          <w:p w14:paraId="33516C4A" w14:textId="77777777" w:rsidR="00B0684C" w:rsidRPr="001424E2" w:rsidRDefault="00B0684C" w:rsidP="005211A7">
            <w:pPr>
              <w:spacing w:after="0" w:line="240" w:lineRule="auto"/>
              <w:rPr>
                <w:rFonts w:ascii="Times New Roman" w:eastAsia="Times New Roman" w:hAnsi="Times New Roman" w:cs="Times New Roman"/>
                <w:sz w:val="20"/>
                <w:szCs w:val="20"/>
              </w:rPr>
            </w:pPr>
          </w:p>
        </w:tc>
        <w:tc>
          <w:tcPr>
            <w:tcW w:w="522" w:type="dxa"/>
            <w:tcBorders>
              <w:top w:val="nil"/>
              <w:left w:val="nil"/>
              <w:bottom w:val="nil"/>
              <w:right w:val="nil"/>
            </w:tcBorders>
            <w:shd w:val="clear" w:color="auto" w:fill="auto"/>
            <w:noWrap/>
            <w:hideMark/>
          </w:tcPr>
          <w:p w14:paraId="55B43137" w14:textId="77777777" w:rsidR="00B0684C" w:rsidRPr="001424E2" w:rsidRDefault="00B0684C" w:rsidP="005211A7">
            <w:pPr>
              <w:spacing w:after="0" w:line="240" w:lineRule="auto"/>
              <w:rPr>
                <w:rFonts w:ascii="Times New Roman" w:eastAsia="Times New Roman" w:hAnsi="Times New Roman" w:cs="Times New Roman"/>
                <w:sz w:val="20"/>
                <w:szCs w:val="20"/>
              </w:rPr>
            </w:pPr>
          </w:p>
        </w:tc>
        <w:tc>
          <w:tcPr>
            <w:tcW w:w="1671" w:type="dxa"/>
            <w:tcBorders>
              <w:top w:val="nil"/>
              <w:left w:val="nil"/>
              <w:bottom w:val="nil"/>
              <w:right w:val="nil"/>
            </w:tcBorders>
            <w:shd w:val="clear" w:color="auto" w:fill="auto"/>
            <w:noWrap/>
            <w:hideMark/>
          </w:tcPr>
          <w:p w14:paraId="7CD0FF1E" w14:textId="77777777" w:rsidR="00B0684C" w:rsidRPr="001424E2" w:rsidRDefault="00B0684C" w:rsidP="005211A7">
            <w:pPr>
              <w:spacing w:after="0" w:line="240" w:lineRule="auto"/>
              <w:rPr>
                <w:rFonts w:ascii="Times New Roman" w:eastAsia="Times New Roman" w:hAnsi="Times New Roman" w:cs="Times New Roman"/>
                <w:sz w:val="20"/>
                <w:szCs w:val="20"/>
              </w:rPr>
            </w:pPr>
          </w:p>
        </w:tc>
        <w:tc>
          <w:tcPr>
            <w:tcW w:w="1671" w:type="dxa"/>
            <w:tcBorders>
              <w:top w:val="nil"/>
              <w:left w:val="nil"/>
              <w:bottom w:val="nil"/>
              <w:right w:val="nil"/>
            </w:tcBorders>
            <w:shd w:val="clear" w:color="auto" w:fill="auto"/>
            <w:noWrap/>
            <w:hideMark/>
          </w:tcPr>
          <w:p w14:paraId="78D81090" w14:textId="77777777" w:rsidR="00B0684C" w:rsidRPr="001424E2" w:rsidRDefault="00B0684C" w:rsidP="005211A7">
            <w:pPr>
              <w:spacing w:after="0" w:line="240" w:lineRule="auto"/>
              <w:rPr>
                <w:rFonts w:ascii="Times New Roman" w:eastAsia="Times New Roman" w:hAnsi="Times New Roman" w:cs="Times New Roman"/>
                <w:sz w:val="20"/>
                <w:szCs w:val="20"/>
              </w:rPr>
            </w:pPr>
          </w:p>
        </w:tc>
      </w:tr>
      <w:tr w:rsidR="00B0684C" w:rsidRPr="001424E2" w14:paraId="4D028729" w14:textId="77777777" w:rsidTr="00353F7C">
        <w:trPr>
          <w:trHeight w:val="79"/>
        </w:trPr>
        <w:tc>
          <w:tcPr>
            <w:tcW w:w="2022" w:type="dxa"/>
            <w:tcBorders>
              <w:top w:val="single" w:sz="8" w:space="0" w:color="7F7F7F"/>
              <w:left w:val="nil"/>
              <w:bottom w:val="single" w:sz="8" w:space="0" w:color="7F7F7F"/>
              <w:right w:val="nil"/>
            </w:tcBorders>
            <w:shd w:val="clear" w:color="auto" w:fill="auto"/>
            <w:noWrap/>
            <w:vAlign w:val="center"/>
            <w:hideMark/>
          </w:tcPr>
          <w:p w14:paraId="6FC09AD1"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1979</w:t>
            </w:r>
          </w:p>
        </w:tc>
        <w:tc>
          <w:tcPr>
            <w:tcW w:w="1664" w:type="dxa"/>
            <w:tcBorders>
              <w:top w:val="single" w:sz="8" w:space="0" w:color="7F7F7F"/>
              <w:left w:val="nil"/>
              <w:bottom w:val="single" w:sz="8" w:space="0" w:color="7F7F7F"/>
              <w:right w:val="nil"/>
            </w:tcBorders>
            <w:shd w:val="clear" w:color="auto" w:fill="auto"/>
            <w:noWrap/>
            <w:vAlign w:val="center"/>
            <w:hideMark/>
          </w:tcPr>
          <w:p w14:paraId="4B00306C"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34</w:t>
            </w:r>
          </w:p>
        </w:tc>
        <w:tc>
          <w:tcPr>
            <w:tcW w:w="1462" w:type="dxa"/>
            <w:tcBorders>
              <w:top w:val="single" w:sz="8" w:space="0" w:color="7F7F7F"/>
              <w:left w:val="nil"/>
              <w:bottom w:val="single" w:sz="8" w:space="0" w:color="7F7F7F"/>
              <w:right w:val="nil"/>
            </w:tcBorders>
            <w:shd w:val="clear" w:color="auto" w:fill="auto"/>
            <w:noWrap/>
            <w:vAlign w:val="center"/>
            <w:hideMark/>
          </w:tcPr>
          <w:p w14:paraId="614E79AC"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34</w:t>
            </w:r>
          </w:p>
        </w:tc>
        <w:tc>
          <w:tcPr>
            <w:tcW w:w="522" w:type="dxa"/>
            <w:tcBorders>
              <w:top w:val="nil"/>
              <w:left w:val="nil"/>
              <w:bottom w:val="nil"/>
              <w:right w:val="nil"/>
            </w:tcBorders>
            <w:shd w:val="clear" w:color="auto" w:fill="auto"/>
            <w:noWrap/>
            <w:hideMark/>
          </w:tcPr>
          <w:p w14:paraId="1A9E9E8B"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single" w:sz="8" w:space="0" w:color="7F7F7F"/>
              <w:left w:val="nil"/>
              <w:bottom w:val="single" w:sz="8" w:space="0" w:color="7F7F7F"/>
              <w:right w:val="nil"/>
            </w:tcBorders>
            <w:shd w:val="clear" w:color="auto" w:fill="auto"/>
            <w:noWrap/>
            <w:vAlign w:val="center"/>
            <w:hideMark/>
          </w:tcPr>
          <w:p w14:paraId="5234F2EB"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8.7</w:t>
            </w:r>
          </w:p>
        </w:tc>
        <w:tc>
          <w:tcPr>
            <w:tcW w:w="1671" w:type="dxa"/>
            <w:tcBorders>
              <w:top w:val="single" w:sz="8" w:space="0" w:color="7F7F7F"/>
              <w:left w:val="nil"/>
              <w:bottom w:val="single" w:sz="8" w:space="0" w:color="7F7F7F"/>
              <w:right w:val="nil"/>
            </w:tcBorders>
            <w:shd w:val="clear" w:color="auto" w:fill="auto"/>
            <w:noWrap/>
            <w:vAlign w:val="center"/>
            <w:hideMark/>
          </w:tcPr>
          <w:p w14:paraId="5457F298"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3.9</w:t>
            </w:r>
          </w:p>
        </w:tc>
      </w:tr>
      <w:tr w:rsidR="00B0684C" w:rsidRPr="001424E2" w14:paraId="2A03CDE0" w14:textId="77777777" w:rsidTr="00353F7C">
        <w:trPr>
          <w:trHeight w:val="178"/>
        </w:trPr>
        <w:tc>
          <w:tcPr>
            <w:tcW w:w="2022" w:type="dxa"/>
            <w:tcBorders>
              <w:top w:val="nil"/>
              <w:left w:val="nil"/>
              <w:bottom w:val="nil"/>
              <w:right w:val="nil"/>
            </w:tcBorders>
            <w:shd w:val="clear" w:color="auto" w:fill="auto"/>
            <w:noWrap/>
            <w:vAlign w:val="center"/>
            <w:hideMark/>
          </w:tcPr>
          <w:p w14:paraId="750816D8"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1999</w:t>
            </w:r>
          </w:p>
        </w:tc>
        <w:tc>
          <w:tcPr>
            <w:tcW w:w="1664" w:type="dxa"/>
            <w:tcBorders>
              <w:top w:val="nil"/>
              <w:left w:val="nil"/>
              <w:bottom w:val="nil"/>
              <w:right w:val="nil"/>
            </w:tcBorders>
            <w:shd w:val="clear" w:color="auto" w:fill="auto"/>
            <w:noWrap/>
            <w:vAlign w:val="center"/>
            <w:hideMark/>
          </w:tcPr>
          <w:p w14:paraId="52614C56"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31</w:t>
            </w:r>
          </w:p>
        </w:tc>
        <w:tc>
          <w:tcPr>
            <w:tcW w:w="1462" w:type="dxa"/>
            <w:tcBorders>
              <w:top w:val="nil"/>
              <w:left w:val="nil"/>
              <w:bottom w:val="nil"/>
              <w:right w:val="nil"/>
            </w:tcBorders>
            <w:shd w:val="clear" w:color="auto" w:fill="auto"/>
            <w:noWrap/>
            <w:vAlign w:val="center"/>
            <w:hideMark/>
          </w:tcPr>
          <w:p w14:paraId="79BA606C"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35</w:t>
            </w:r>
          </w:p>
        </w:tc>
        <w:tc>
          <w:tcPr>
            <w:tcW w:w="522" w:type="dxa"/>
            <w:tcBorders>
              <w:top w:val="nil"/>
              <w:left w:val="nil"/>
              <w:bottom w:val="nil"/>
              <w:right w:val="nil"/>
            </w:tcBorders>
            <w:shd w:val="clear" w:color="auto" w:fill="auto"/>
            <w:noWrap/>
            <w:hideMark/>
          </w:tcPr>
          <w:p w14:paraId="7E11FFA0"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nil"/>
              <w:left w:val="nil"/>
              <w:bottom w:val="nil"/>
              <w:right w:val="nil"/>
            </w:tcBorders>
            <w:shd w:val="clear" w:color="auto" w:fill="auto"/>
            <w:noWrap/>
            <w:vAlign w:val="center"/>
            <w:hideMark/>
          </w:tcPr>
          <w:p w14:paraId="138888A6"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8.3</w:t>
            </w:r>
          </w:p>
        </w:tc>
        <w:tc>
          <w:tcPr>
            <w:tcW w:w="1671" w:type="dxa"/>
            <w:tcBorders>
              <w:top w:val="nil"/>
              <w:left w:val="nil"/>
              <w:bottom w:val="nil"/>
              <w:right w:val="nil"/>
            </w:tcBorders>
            <w:shd w:val="clear" w:color="auto" w:fill="auto"/>
            <w:noWrap/>
            <w:vAlign w:val="center"/>
            <w:hideMark/>
          </w:tcPr>
          <w:p w14:paraId="77EF14F4"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4.2</w:t>
            </w:r>
          </w:p>
        </w:tc>
      </w:tr>
      <w:tr w:rsidR="00B0684C" w:rsidRPr="001424E2" w14:paraId="3DA8A853" w14:textId="77777777" w:rsidTr="00353F7C">
        <w:trPr>
          <w:trHeight w:val="106"/>
        </w:trPr>
        <w:tc>
          <w:tcPr>
            <w:tcW w:w="2022" w:type="dxa"/>
            <w:tcBorders>
              <w:top w:val="single" w:sz="8" w:space="0" w:color="7F7F7F"/>
              <w:left w:val="nil"/>
              <w:bottom w:val="single" w:sz="8" w:space="0" w:color="7F7F7F"/>
              <w:right w:val="nil"/>
            </w:tcBorders>
            <w:shd w:val="clear" w:color="auto" w:fill="auto"/>
            <w:noWrap/>
            <w:vAlign w:val="center"/>
            <w:hideMark/>
          </w:tcPr>
          <w:p w14:paraId="6EFDE051"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2019</w:t>
            </w:r>
          </w:p>
        </w:tc>
        <w:tc>
          <w:tcPr>
            <w:tcW w:w="1664" w:type="dxa"/>
            <w:tcBorders>
              <w:top w:val="single" w:sz="8" w:space="0" w:color="7F7F7F"/>
              <w:left w:val="nil"/>
              <w:bottom w:val="single" w:sz="8" w:space="0" w:color="7F7F7F"/>
              <w:right w:val="nil"/>
            </w:tcBorders>
            <w:shd w:val="clear" w:color="auto" w:fill="auto"/>
            <w:noWrap/>
            <w:vAlign w:val="center"/>
            <w:hideMark/>
          </w:tcPr>
          <w:p w14:paraId="1C936A61"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25</w:t>
            </w:r>
          </w:p>
        </w:tc>
        <w:tc>
          <w:tcPr>
            <w:tcW w:w="1462" w:type="dxa"/>
            <w:tcBorders>
              <w:top w:val="single" w:sz="8" w:space="0" w:color="7F7F7F"/>
              <w:left w:val="nil"/>
              <w:bottom w:val="single" w:sz="8" w:space="0" w:color="7F7F7F"/>
              <w:right w:val="nil"/>
            </w:tcBorders>
            <w:shd w:val="clear" w:color="auto" w:fill="auto"/>
            <w:noWrap/>
            <w:vAlign w:val="center"/>
            <w:hideMark/>
          </w:tcPr>
          <w:p w14:paraId="5E64D4E4"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34</w:t>
            </w:r>
          </w:p>
        </w:tc>
        <w:tc>
          <w:tcPr>
            <w:tcW w:w="522" w:type="dxa"/>
            <w:tcBorders>
              <w:top w:val="nil"/>
              <w:left w:val="nil"/>
              <w:bottom w:val="nil"/>
              <w:right w:val="nil"/>
            </w:tcBorders>
            <w:shd w:val="clear" w:color="auto" w:fill="auto"/>
            <w:noWrap/>
            <w:hideMark/>
          </w:tcPr>
          <w:p w14:paraId="5D481DDF"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single" w:sz="8" w:space="0" w:color="7F7F7F"/>
              <w:left w:val="nil"/>
              <w:bottom w:val="single" w:sz="8" w:space="0" w:color="7F7F7F"/>
              <w:right w:val="nil"/>
            </w:tcBorders>
            <w:shd w:val="clear" w:color="auto" w:fill="auto"/>
            <w:noWrap/>
            <w:vAlign w:val="center"/>
            <w:hideMark/>
          </w:tcPr>
          <w:p w14:paraId="32AED532"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8</w:t>
            </w:r>
          </w:p>
        </w:tc>
        <w:tc>
          <w:tcPr>
            <w:tcW w:w="1671" w:type="dxa"/>
            <w:tcBorders>
              <w:top w:val="single" w:sz="8" w:space="0" w:color="7F7F7F"/>
              <w:left w:val="nil"/>
              <w:bottom w:val="single" w:sz="8" w:space="0" w:color="7F7F7F"/>
              <w:right w:val="nil"/>
            </w:tcBorders>
            <w:shd w:val="clear" w:color="auto" w:fill="auto"/>
            <w:noWrap/>
            <w:vAlign w:val="center"/>
            <w:hideMark/>
          </w:tcPr>
          <w:p w14:paraId="7835A931"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4.2</w:t>
            </w:r>
          </w:p>
        </w:tc>
      </w:tr>
      <w:tr w:rsidR="00B0684C" w:rsidRPr="001424E2" w14:paraId="36159F12" w14:textId="77777777" w:rsidTr="00041623">
        <w:trPr>
          <w:trHeight w:val="290"/>
        </w:trPr>
        <w:tc>
          <w:tcPr>
            <w:tcW w:w="2022" w:type="dxa"/>
            <w:tcBorders>
              <w:top w:val="nil"/>
              <w:left w:val="nil"/>
              <w:bottom w:val="nil"/>
              <w:right w:val="nil"/>
            </w:tcBorders>
            <w:shd w:val="clear" w:color="auto" w:fill="auto"/>
            <w:noWrap/>
            <w:hideMark/>
          </w:tcPr>
          <w:p w14:paraId="0A4E44CF" w14:textId="77777777" w:rsidR="00B0684C" w:rsidRPr="001424E2" w:rsidRDefault="00B0684C" w:rsidP="005211A7">
            <w:pPr>
              <w:spacing w:after="0" w:line="240" w:lineRule="auto"/>
              <w:rPr>
                <w:rFonts w:ascii="Times New Roman" w:eastAsia="Times New Roman" w:hAnsi="Times New Roman" w:cs="Times New Roman"/>
                <w:sz w:val="20"/>
                <w:szCs w:val="20"/>
              </w:rPr>
            </w:pPr>
          </w:p>
        </w:tc>
        <w:tc>
          <w:tcPr>
            <w:tcW w:w="1664" w:type="dxa"/>
            <w:tcBorders>
              <w:top w:val="nil"/>
              <w:left w:val="nil"/>
              <w:bottom w:val="nil"/>
              <w:right w:val="nil"/>
            </w:tcBorders>
            <w:shd w:val="clear" w:color="auto" w:fill="auto"/>
            <w:noWrap/>
            <w:hideMark/>
          </w:tcPr>
          <w:p w14:paraId="77B265B4" w14:textId="77777777" w:rsidR="00B0684C" w:rsidRPr="001424E2" w:rsidRDefault="00B0684C" w:rsidP="005211A7">
            <w:pPr>
              <w:spacing w:after="0" w:line="240" w:lineRule="auto"/>
              <w:rPr>
                <w:rFonts w:ascii="Times New Roman" w:eastAsia="Times New Roman" w:hAnsi="Times New Roman" w:cs="Times New Roman"/>
                <w:sz w:val="20"/>
                <w:szCs w:val="20"/>
              </w:rPr>
            </w:pPr>
          </w:p>
        </w:tc>
        <w:tc>
          <w:tcPr>
            <w:tcW w:w="1462" w:type="dxa"/>
            <w:tcBorders>
              <w:top w:val="nil"/>
              <w:left w:val="nil"/>
              <w:bottom w:val="nil"/>
              <w:right w:val="nil"/>
            </w:tcBorders>
            <w:shd w:val="clear" w:color="auto" w:fill="auto"/>
            <w:noWrap/>
            <w:hideMark/>
          </w:tcPr>
          <w:p w14:paraId="11F4A68D" w14:textId="77777777" w:rsidR="00B0684C" w:rsidRPr="001424E2" w:rsidRDefault="00B0684C" w:rsidP="005211A7">
            <w:pPr>
              <w:spacing w:after="0" w:line="240" w:lineRule="auto"/>
              <w:rPr>
                <w:rFonts w:ascii="Times New Roman" w:eastAsia="Times New Roman" w:hAnsi="Times New Roman" w:cs="Times New Roman"/>
                <w:sz w:val="20"/>
                <w:szCs w:val="20"/>
              </w:rPr>
            </w:pPr>
          </w:p>
        </w:tc>
        <w:tc>
          <w:tcPr>
            <w:tcW w:w="522" w:type="dxa"/>
            <w:tcBorders>
              <w:top w:val="nil"/>
              <w:left w:val="nil"/>
              <w:bottom w:val="nil"/>
              <w:right w:val="nil"/>
            </w:tcBorders>
            <w:shd w:val="clear" w:color="auto" w:fill="auto"/>
            <w:noWrap/>
            <w:hideMark/>
          </w:tcPr>
          <w:p w14:paraId="71A621F2" w14:textId="77777777" w:rsidR="00B0684C" w:rsidRPr="001424E2" w:rsidRDefault="00B0684C" w:rsidP="005211A7">
            <w:pPr>
              <w:spacing w:after="0" w:line="240" w:lineRule="auto"/>
              <w:rPr>
                <w:rFonts w:ascii="Times New Roman" w:eastAsia="Times New Roman" w:hAnsi="Times New Roman" w:cs="Times New Roman"/>
                <w:sz w:val="20"/>
                <w:szCs w:val="20"/>
              </w:rPr>
            </w:pPr>
          </w:p>
        </w:tc>
        <w:tc>
          <w:tcPr>
            <w:tcW w:w="1671" w:type="dxa"/>
            <w:tcBorders>
              <w:top w:val="nil"/>
              <w:left w:val="nil"/>
              <w:bottom w:val="nil"/>
              <w:right w:val="nil"/>
            </w:tcBorders>
            <w:shd w:val="clear" w:color="auto" w:fill="auto"/>
            <w:noWrap/>
            <w:hideMark/>
          </w:tcPr>
          <w:p w14:paraId="0D713FFF" w14:textId="77777777" w:rsidR="00B0684C" w:rsidRPr="001424E2" w:rsidRDefault="00B0684C" w:rsidP="005211A7">
            <w:pPr>
              <w:spacing w:after="0" w:line="240" w:lineRule="auto"/>
              <w:rPr>
                <w:rFonts w:ascii="Times New Roman" w:eastAsia="Times New Roman" w:hAnsi="Times New Roman" w:cs="Times New Roman"/>
                <w:sz w:val="20"/>
                <w:szCs w:val="20"/>
              </w:rPr>
            </w:pPr>
          </w:p>
        </w:tc>
        <w:tc>
          <w:tcPr>
            <w:tcW w:w="1671" w:type="dxa"/>
            <w:tcBorders>
              <w:top w:val="nil"/>
              <w:left w:val="nil"/>
              <w:bottom w:val="nil"/>
              <w:right w:val="nil"/>
            </w:tcBorders>
            <w:shd w:val="clear" w:color="auto" w:fill="auto"/>
            <w:noWrap/>
            <w:hideMark/>
          </w:tcPr>
          <w:p w14:paraId="4CB0CF82" w14:textId="77777777" w:rsidR="00B0684C" w:rsidRPr="001424E2" w:rsidRDefault="00B0684C" w:rsidP="005211A7">
            <w:pPr>
              <w:spacing w:after="0" w:line="240" w:lineRule="auto"/>
              <w:rPr>
                <w:rFonts w:ascii="Times New Roman" w:eastAsia="Times New Roman" w:hAnsi="Times New Roman" w:cs="Times New Roman"/>
                <w:sz w:val="20"/>
                <w:szCs w:val="20"/>
              </w:rPr>
            </w:pPr>
          </w:p>
        </w:tc>
      </w:tr>
      <w:tr w:rsidR="00B0684C" w:rsidRPr="001424E2" w14:paraId="33FDF532" w14:textId="77777777" w:rsidTr="00353F7C">
        <w:trPr>
          <w:trHeight w:val="74"/>
        </w:trPr>
        <w:tc>
          <w:tcPr>
            <w:tcW w:w="2022" w:type="dxa"/>
            <w:tcBorders>
              <w:top w:val="nil"/>
              <w:left w:val="nil"/>
              <w:bottom w:val="single" w:sz="4" w:space="0" w:color="auto"/>
              <w:right w:val="nil"/>
            </w:tcBorders>
            <w:shd w:val="clear" w:color="auto" w:fill="auto"/>
            <w:noWrap/>
            <w:vAlign w:val="center"/>
            <w:hideMark/>
          </w:tcPr>
          <w:p w14:paraId="76843E24" w14:textId="77777777" w:rsidR="00B0684C" w:rsidRPr="001424E2" w:rsidRDefault="00B0684C" w:rsidP="005211A7">
            <w:pPr>
              <w:spacing w:after="0" w:line="240" w:lineRule="auto"/>
              <w:rPr>
                <w:rFonts w:ascii="Calibri" w:eastAsia="Times New Roman" w:hAnsi="Calibri" w:cs="Calibri"/>
                <w:color w:val="000000"/>
                <w:sz w:val="20"/>
                <w:szCs w:val="20"/>
              </w:rPr>
            </w:pPr>
            <w:r w:rsidRPr="001424E2">
              <w:rPr>
                <w:rFonts w:ascii="Calibri" w:eastAsia="Times New Roman" w:hAnsi="Calibri" w:cs="Calibri"/>
                <w:color w:val="000000"/>
                <w:sz w:val="20"/>
                <w:szCs w:val="20"/>
              </w:rPr>
              <w:t>Fescue</w:t>
            </w:r>
          </w:p>
        </w:tc>
        <w:tc>
          <w:tcPr>
            <w:tcW w:w="1664" w:type="dxa"/>
            <w:tcBorders>
              <w:top w:val="nil"/>
              <w:left w:val="nil"/>
              <w:bottom w:val="single" w:sz="4" w:space="0" w:color="auto"/>
              <w:right w:val="nil"/>
            </w:tcBorders>
            <w:shd w:val="clear" w:color="auto" w:fill="auto"/>
            <w:noWrap/>
            <w:hideMark/>
          </w:tcPr>
          <w:p w14:paraId="4A50EBA8"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1462" w:type="dxa"/>
            <w:tcBorders>
              <w:top w:val="nil"/>
              <w:left w:val="nil"/>
              <w:bottom w:val="single" w:sz="4" w:space="0" w:color="auto"/>
              <w:right w:val="nil"/>
            </w:tcBorders>
            <w:shd w:val="clear" w:color="auto" w:fill="auto"/>
            <w:noWrap/>
            <w:hideMark/>
          </w:tcPr>
          <w:p w14:paraId="1D6D5A2F"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522" w:type="dxa"/>
            <w:tcBorders>
              <w:top w:val="nil"/>
              <w:left w:val="nil"/>
              <w:bottom w:val="nil"/>
              <w:right w:val="nil"/>
            </w:tcBorders>
            <w:shd w:val="clear" w:color="auto" w:fill="auto"/>
            <w:noWrap/>
            <w:hideMark/>
          </w:tcPr>
          <w:p w14:paraId="072981DD" w14:textId="77777777" w:rsidR="00B0684C" w:rsidRPr="001424E2" w:rsidRDefault="00B0684C" w:rsidP="005211A7">
            <w:pPr>
              <w:spacing w:after="0" w:line="240" w:lineRule="auto"/>
              <w:rPr>
                <w:rFonts w:ascii="Calibri" w:eastAsia="Times New Roman" w:hAnsi="Calibri" w:cs="Calibri"/>
                <w:color w:val="000000"/>
              </w:rPr>
            </w:pPr>
          </w:p>
        </w:tc>
        <w:tc>
          <w:tcPr>
            <w:tcW w:w="1671" w:type="dxa"/>
            <w:tcBorders>
              <w:top w:val="nil"/>
              <w:left w:val="nil"/>
              <w:bottom w:val="single" w:sz="4" w:space="0" w:color="auto"/>
              <w:right w:val="nil"/>
            </w:tcBorders>
            <w:shd w:val="clear" w:color="auto" w:fill="auto"/>
            <w:noWrap/>
            <w:hideMark/>
          </w:tcPr>
          <w:p w14:paraId="5E67A505"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1671" w:type="dxa"/>
            <w:tcBorders>
              <w:top w:val="nil"/>
              <w:left w:val="nil"/>
              <w:bottom w:val="single" w:sz="4" w:space="0" w:color="auto"/>
              <w:right w:val="nil"/>
            </w:tcBorders>
            <w:shd w:val="clear" w:color="auto" w:fill="auto"/>
            <w:noWrap/>
            <w:hideMark/>
          </w:tcPr>
          <w:p w14:paraId="49329153"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r>
      <w:tr w:rsidR="00B0684C" w:rsidRPr="001424E2" w14:paraId="0ECC05FB" w14:textId="77777777" w:rsidTr="00353F7C">
        <w:trPr>
          <w:trHeight w:val="64"/>
        </w:trPr>
        <w:tc>
          <w:tcPr>
            <w:tcW w:w="2022" w:type="dxa"/>
            <w:tcBorders>
              <w:top w:val="nil"/>
              <w:left w:val="nil"/>
              <w:bottom w:val="nil"/>
              <w:right w:val="nil"/>
            </w:tcBorders>
            <w:shd w:val="clear" w:color="auto" w:fill="auto"/>
            <w:noWrap/>
            <w:vAlign w:val="center"/>
            <w:hideMark/>
          </w:tcPr>
          <w:p w14:paraId="30B4430D"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1979</w:t>
            </w:r>
          </w:p>
        </w:tc>
        <w:tc>
          <w:tcPr>
            <w:tcW w:w="1664" w:type="dxa"/>
            <w:tcBorders>
              <w:top w:val="nil"/>
              <w:left w:val="nil"/>
              <w:bottom w:val="nil"/>
              <w:right w:val="nil"/>
            </w:tcBorders>
            <w:shd w:val="clear" w:color="auto" w:fill="auto"/>
            <w:noWrap/>
            <w:vAlign w:val="center"/>
            <w:hideMark/>
          </w:tcPr>
          <w:p w14:paraId="0E7D12EE"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29</w:t>
            </w:r>
          </w:p>
        </w:tc>
        <w:tc>
          <w:tcPr>
            <w:tcW w:w="1462" w:type="dxa"/>
            <w:tcBorders>
              <w:top w:val="nil"/>
              <w:left w:val="nil"/>
              <w:bottom w:val="nil"/>
              <w:right w:val="nil"/>
            </w:tcBorders>
            <w:shd w:val="clear" w:color="auto" w:fill="auto"/>
            <w:noWrap/>
            <w:vAlign w:val="center"/>
            <w:hideMark/>
          </w:tcPr>
          <w:p w14:paraId="6F4BF9B1"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47</w:t>
            </w:r>
          </w:p>
        </w:tc>
        <w:tc>
          <w:tcPr>
            <w:tcW w:w="522" w:type="dxa"/>
            <w:tcBorders>
              <w:top w:val="nil"/>
              <w:left w:val="nil"/>
              <w:bottom w:val="nil"/>
              <w:right w:val="nil"/>
            </w:tcBorders>
            <w:shd w:val="clear" w:color="auto" w:fill="auto"/>
            <w:noWrap/>
            <w:hideMark/>
          </w:tcPr>
          <w:p w14:paraId="50B6F535"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nil"/>
              <w:left w:val="nil"/>
              <w:bottom w:val="nil"/>
              <w:right w:val="nil"/>
            </w:tcBorders>
            <w:shd w:val="clear" w:color="auto" w:fill="auto"/>
            <w:noWrap/>
            <w:vAlign w:val="center"/>
            <w:hideMark/>
          </w:tcPr>
          <w:p w14:paraId="15E9E07A"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12.8</w:t>
            </w:r>
          </w:p>
        </w:tc>
        <w:tc>
          <w:tcPr>
            <w:tcW w:w="1671" w:type="dxa"/>
            <w:tcBorders>
              <w:top w:val="nil"/>
              <w:left w:val="nil"/>
              <w:bottom w:val="nil"/>
              <w:right w:val="nil"/>
            </w:tcBorders>
            <w:shd w:val="clear" w:color="auto" w:fill="auto"/>
            <w:noWrap/>
            <w:vAlign w:val="center"/>
            <w:hideMark/>
          </w:tcPr>
          <w:p w14:paraId="48556337"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3.7</w:t>
            </w:r>
          </w:p>
        </w:tc>
      </w:tr>
      <w:tr w:rsidR="00B0684C" w:rsidRPr="001424E2" w14:paraId="019F1E31" w14:textId="77777777" w:rsidTr="00353F7C">
        <w:trPr>
          <w:trHeight w:val="54"/>
        </w:trPr>
        <w:tc>
          <w:tcPr>
            <w:tcW w:w="2022" w:type="dxa"/>
            <w:tcBorders>
              <w:top w:val="single" w:sz="8" w:space="0" w:color="7F7F7F"/>
              <w:left w:val="nil"/>
              <w:bottom w:val="single" w:sz="8" w:space="0" w:color="7F7F7F"/>
              <w:right w:val="nil"/>
            </w:tcBorders>
            <w:shd w:val="clear" w:color="auto" w:fill="auto"/>
            <w:noWrap/>
            <w:vAlign w:val="center"/>
            <w:hideMark/>
          </w:tcPr>
          <w:p w14:paraId="440E2F39"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1999</w:t>
            </w:r>
          </w:p>
        </w:tc>
        <w:tc>
          <w:tcPr>
            <w:tcW w:w="1664" w:type="dxa"/>
            <w:tcBorders>
              <w:top w:val="single" w:sz="8" w:space="0" w:color="7F7F7F"/>
              <w:left w:val="nil"/>
              <w:bottom w:val="single" w:sz="8" w:space="0" w:color="7F7F7F"/>
              <w:right w:val="nil"/>
            </w:tcBorders>
            <w:shd w:val="clear" w:color="auto" w:fill="auto"/>
            <w:noWrap/>
            <w:vAlign w:val="center"/>
            <w:hideMark/>
          </w:tcPr>
          <w:p w14:paraId="6F366AA8"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33</w:t>
            </w:r>
          </w:p>
        </w:tc>
        <w:tc>
          <w:tcPr>
            <w:tcW w:w="1462" w:type="dxa"/>
            <w:tcBorders>
              <w:top w:val="single" w:sz="8" w:space="0" w:color="7F7F7F"/>
              <w:left w:val="nil"/>
              <w:bottom w:val="single" w:sz="8" w:space="0" w:color="7F7F7F"/>
              <w:right w:val="nil"/>
            </w:tcBorders>
            <w:shd w:val="clear" w:color="auto" w:fill="auto"/>
            <w:noWrap/>
            <w:vAlign w:val="center"/>
            <w:hideMark/>
          </w:tcPr>
          <w:p w14:paraId="15A69DC7"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41</w:t>
            </w:r>
          </w:p>
        </w:tc>
        <w:tc>
          <w:tcPr>
            <w:tcW w:w="522" w:type="dxa"/>
            <w:tcBorders>
              <w:top w:val="nil"/>
              <w:left w:val="nil"/>
              <w:bottom w:val="nil"/>
              <w:right w:val="nil"/>
            </w:tcBorders>
            <w:shd w:val="clear" w:color="auto" w:fill="auto"/>
            <w:noWrap/>
            <w:hideMark/>
          </w:tcPr>
          <w:p w14:paraId="33FFA0C1"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single" w:sz="8" w:space="0" w:color="7F7F7F"/>
              <w:left w:val="nil"/>
              <w:bottom w:val="single" w:sz="8" w:space="0" w:color="7F7F7F"/>
              <w:right w:val="nil"/>
            </w:tcBorders>
            <w:shd w:val="clear" w:color="auto" w:fill="auto"/>
            <w:noWrap/>
            <w:vAlign w:val="center"/>
            <w:hideMark/>
          </w:tcPr>
          <w:p w14:paraId="70C6CE33"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9.7</w:t>
            </w:r>
          </w:p>
        </w:tc>
        <w:tc>
          <w:tcPr>
            <w:tcW w:w="1671" w:type="dxa"/>
            <w:tcBorders>
              <w:top w:val="single" w:sz="8" w:space="0" w:color="7F7F7F"/>
              <w:left w:val="nil"/>
              <w:bottom w:val="single" w:sz="8" w:space="0" w:color="7F7F7F"/>
              <w:right w:val="nil"/>
            </w:tcBorders>
            <w:shd w:val="clear" w:color="auto" w:fill="auto"/>
            <w:noWrap/>
            <w:vAlign w:val="center"/>
            <w:hideMark/>
          </w:tcPr>
          <w:p w14:paraId="15E15C50"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4.2</w:t>
            </w:r>
          </w:p>
        </w:tc>
      </w:tr>
      <w:tr w:rsidR="00B0684C" w:rsidRPr="001424E2" w14:paraId="3AD28246" w14:textId="77777777" w:rsidTr="00353F7C">
        <w:trPr>
          <w:trHeight w:val="54"/>
        </w:trPr>
        <w:tc>
          <w:tcPr>
            <w:tcW w:w="2022" w:type="dxa"/>
            <w:tcBorders>
              <w:top w:val="nil"/>
              <w:left w:val="nil"/>
              <w:bottom w:val="nil"/>
              <w:right w:val="nil"/>
            </w:tcBorders>
            <w:shd w:val="clear" w:color="auto" w:fill="auto"/>
            <w:noWrap/>
            <w:vAlign w:val="center"/>
            <w:hideMark/>
          </w:tcPr>
          <w:p w14:paraId="5055E8F5"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2019</w:t>
            </w:r>
          </w:p>
        </w:tc>
        <w:tc>
          <w:tcPr>
            <w:tcW w:w="1664" w:type="dxa"/>
            <w:tcBorders>
              <w:top w:val="nil"/>
              <w:left w:val="nil"/>
              <w:bottom w:val="nil"/>
              <w:right w:val="nil"/>
            </w:tcBorders>
            <w:shd w:val="clear" w:color="auto" w:fill="auto"/>
            <w:noWrap/>
            <w:vAlign w:val="center"/>
            <w:hideMark/>
          </w:tcPr>
          <w:p w14:paraId="0AD6F0D3"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14</w:t>
            </w:r>
          </w:p>
        </w:tc>
        <w:tc>
          <w:tcPr>
            <w:tcW w:w="1462" w:type="dxa"/>
            <w:tcBorders>
              <w:top w:val="nil"/>
              <w:left w:val="nil"/>
              <w:bottom w:val="nil"/>
              <w:right w:val="nil"/>
            </w:tcBorders>
            <w:shd w:val="clear" w:color="auto" w:fill="auto"/>
            <w:noWrap/>
            <w:vAlign w:val="center"/>
            <w:hideMark/>
          </w:tcPr>
          <w:p w14:paraId="72E18A38"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26</w:t>
            </w:r>
          </w:p>
        </w:tc>
        <w:tc>
          <w:tcPr>
            <w:tcW w:w="522" w:type="dxa"/>
            <w:tcBorders>
              <w:top w:val="nil"/>
              <w:left w:val="nil"/>
              <w:bottom w:val="nil"/>
              <w:right w:val="nil"/>
            </w:tcBorders>
            <w:shd w:val="clear" w:color="auto" w:fill="auto"/>
            <w:noWrap/>
            <w:hideMark/>
          </w:tcPr>
          <w:p w14:paraId="51806FB1"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nil"/>
              <w:left w:val="nil"/>
              <w:bottom w:val="nil"/>
              <w:right w:val="nil"/>
            </w:tcBorders>
            <w:shd w:val="clear" w:color="auto" w:fill="auto"/>
            <w:noWrap/>
            <w:vAlign w:val="center"/>
            <w:hideMark/>
          </w:tcPr>
          <w:p w14:paraId="4749C220"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6.6</w:t>
            </w:r>
          </w:p>
        </w:tc>
        <w:tc>
          <w:tcPr>
            <w:tcW w:w="1671" w:type="dxa"/>
            <w:tcBorders>
              <w:top w:val="nil"/>
              <w:left w:val="nil"/>
              <w:bottom w:val="nil"/>
              <w:right w:val="nil"/>
            </w:tcBorders>
            <w:shd w:val="clear" w:color="auto" w:fill="auto"/>
            <w:noWrap/>
            <w:vAlign w:val="center"/>
            <w:hideMark/>
          </w:tcPr>
          <w:p w14:paraId="73A923E2"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3.9</w:t>
            </w:r>
          </w:p>
        </w:tc>
      </w:tr>
      <w:tr w:rsidR="00B0684C" w:rsidRPr="001424E2" w14:paraId="5322BC82" w14:textId="77777777" w:rsidTr="00041623">
        <w:trPr>
          <w:trHeight w:val="290"/>
        </w:trPr>
        <w:tc>
          <w:tcPr>
            <w:tcW w:w="2022" w:type="dxa"/>
            <w:tcBorders>
              <w:top w:val="single" w:sz="8" w:space="0" w:color="7F7F7F"/>
              <w:left w:val="nil"/>
              <w:bottom w:val="nil"/>
              <w:right w:val="nil"/>
            </w:tcBorders>
            <w:shd w:val="clear" w:color="auto" w:fill="auto"/>
            <w:noWrap/>
            <w:hideMark/>
          </w:tcPr>
          <w:p w14:paraId="38DC83EF"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1664" w:type="dxa"/>
            <w:tcBorders>
              <w:top w:val="single" w:sz="8" w:space="0" w:color="7F7F7F"/>
              <w:left w:val="nil"/>
              <w:bottom w:val="nil"/>
              <w:right w:val="nil"/>
            </w:tcBorders>
            <w:shd w:val="clear" w:color="auto" w:fill="auto"/>
            <w:noWrap/>
            <w:hideMark/>
          </w:tcPr>
          <w:p w14:paraId="7EBE2CC1"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1462" w:type="dxa"/>
            <w:tcBorders>
              <w:top w:val="single" w:sz="8" w:space="0" w:color="7F7F7F"/>
              <w:left w:val="nil"/>
              <w:bottom w:val="nil"/>
              <w:right w:val="nil"/>
            </w:tcBorders>
            <w:shd w:val="clear" w:color="auto" w:fill="auto"/>
            <w:noWrap/>
            <w:hideMark/>
          </w:tcPr>
          <w:p w14:paraId="60C7EC83"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522" w:type="dxa"/>
            <w:tcBorders>
              <w:top w:val="nil"/>
              <w:left w:val="nil"/>
              <w:bottom w:val="nil"/>
              <w:right w:val="nil"/>
            </w:tcBorders>
            <w:shd w:val="clear" w:color="auto" w:fill="auto"/>
            <w:noWrap/>
            <w:hideMark/>
          </w:tcPr>
          <w:p w14:paraId="70C935ED" w14:textId="77777777" w:rsidR="00B0684C" w:rsidRPr="001424E2" w:rsidRDefault="00B0684C" w:rsidP="005211A7">
            <w:pPr>
              <w:spacing w:after="0" w:line="240" w:lineRule="auto"/>
              <w:rPr>
                <w:rFonts w:ascii="Calibri" w:eastAsia="Times New Roman" w:hAnsi="Calibri" w:cs="Calibri"/>
                <w:color w:val="000000"/>
              </w:rPr>
            </w:pPr>
          </w:p>
        </w:tc>
        <w:tc>
          <w:tcPr>
            <w:tcW w:w="1671" w:type="dxa"/>
            <w:tcBorders>
              <w:top w:val="single" w:sz="8" w:space="0" w:color="7F7F7F"/>
              <w:left w:val="nil"/>
              <w:bottom w:val="nil"/>
              <w:right w:val="nil"/>
            </w:tcBorders>
            <w:shd w:val="clear" w:color="auto" w:fill="auto"/>
            <w:noWrap/>
            <w:hideMark/>
          </w:tcPr>
          <w:p w14:paraId="7226CB37"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1671" w:type="dxa"/>
            <w:tcBorders>
              <w:top w:val="single" w:sz="8" w:space="0" w:color="7F7F7F"/>
              <w:left w:val="nil"/>
              <w:bottom w:val="nil"/>
              <w:right w:val="nil"/>
            </w:tcBorders>
            <w:shd w:val="clear" w:color="auto" w:fill="auto"/>
            <w:noWrap/>
            <w:hideMark/>
          </w:tcPr>
          <w:p w14:paraId="554F0294"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r>
      <w:tr w:rsidR="00B0684C" w:rsidRPr="001424E2" w14:paraId="1FCC1CED" w14:textId="77777777" w:rsidTr="00041623">
        <w:trPr>
          <w:trHeight w:val="290"/>
        </w:trPr>
        <w:tc>
          <w:tcPr>
            <w:tcW w:w="2022" w:type="dxa"/>
            <w:tcBorders>
              <w:top w:val="nil"/>
              <w:left w:val="nil"/>
              <w:bottom w:val="single" w:sz="4" w:space="0" w:color="auto"/>
              <w:right w:val="nil"/>
            </w:tcBorders>
            <w:shd w:val="clear" w:color="auto" w:fill="auto"/>
            <w:noWrap/>
            <w:vAlign w:val="center"/>
            <w:hideMark/>
          </w:tcPr>
          <w:p w14:paraId="76A6B1C6" w14:textId="77777777" w:rsidR="00B0684C" w:rsidRPr="001424E2" w:rsidRDefault="00B0684C" w:rsidP="005211A7">
            <w:pPr>
              <w:spacing w:after="0" w:line="240" w:lineRule="auto"/>
              <w:rPr>
                <w:rFonts w:ascii="Calibri" w:eastAsia="Times New Roman" w:hAnsi="Calibri" w:cs="Calibri"/>
                <w:color w:val="000000"/>
                <w:sz w:val="20"/>
                <w:szCs w:val="20"/>
              </w:rPr>
            </w:pPr>
            <w:r w:rsidRPr="001424E2">
              <w:rPr>
                <w:rFonts w:ascii="Calibri" w:eastAsia="Times New Roman" w:hAnsi="Calibri" w:cs="Calibri"/>
                <w:color w:val="000000"/>
                <w:sz w:val="20"/>
                <w:szCs w:val="20"/>
              </w:rPr>
              <w:t>Bogbean</w:t>
            </w:r>
          </w:p>
        </w:tc>
        <w:tc>
          <w:tcPr>
            <w:tcW w:w="1664" w:type="dxa"/>
            <w:tcBorders>
              <w:top w:val="nil"/>
              <w:left w:val="nil"/>
              <w:bottom w:val="single" w:sz="4" w:space="0" w:color="auto"/>
              <w:right w:val="nil"/>
            </w:tcBorders>
            <w:shd w:val="clear" w:color="auto" w:fill="auto"/>
            <w:noWrap/>
            <w:hideMark/>
          </w:tcPr>
          <w:p w14:paraId="73FEDE01"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1462" w:type="dxa"/>
            <w:tcBorders>
              <w:top w:val="nil"/>
              <w:left w:val="nil"/>
              <w:bottom w:val="single" w:sz="4" w:space="0" w:color="auto"/>
              <w:right w:val="nil"/>
            </w:tcBorders>
            <w:shd w:val="clear" w:color="auto" w:fill="auto"/>
            <w:noWrap/>
            <w:hideMark/>
          </w:tcPr>
          <w:p w14:paraId="1397CDEB"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522" w:type="dxa"/>
            <w:tcBorders>
              <w:top w:val="nil"/>
              <w:left w:val="nil"/>
              <w:bottom w:val="nil"/>
              <w:right w:val="nil"/>
            </w:tcBorders>
            <w:shd w:val="clear" w:color="auto" w:fill="auto"/>
            <w:noWrap/>
            <w:hideMark/>
          </w:tcPr>
          <w:p w14:paraId="41C36618" w14:textId="77777777" w:rsidR="00B0684C" w:rsidRPr="001424E2" w:rsidRDefault="00B0684C" w:rsidP="005211A7">
            <w:pPr>
              <w:spacing w:after="0" w:line="240" w:lineRule="auto"/>
              <w:rPr>
                <w:rFonts w:ascii="Calibri" w:eastAsia="Times New Roman" w:hAnsi="Calibri" w:cs="Calibri"/>
                <w:color w:val="000000"/>
              </w:rPr>
            </w:pPr>
          </w:p>
        </w:tc>
        <w:tc>
          <w:tcPr>
            <w:tcW w:w="1671" w:type="dxa"/>
            <w:tcBorders>
              <w:top w:val="nil"/>
              <w:left w:val="nil"/>
              <w:bottom w:val="single" w:sz="4" w:space="0" w:color="auto"/>
              <w:right w:val="nil"/>
            </w:tcBorders>
            <w:shd w:val="clear" w:color="auto" w:fill="auto"/>
            <w:noWrap/>
            <w:hideMark/>
          </w:tcPr>
          <w:p w14:paraId="003089A1"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c>
          <w:tcPr>
            <w:tcW w:w="1671" w:type="dxa"/>
            <w:tcBorders>
              <w:top w:val="nil"/>
              <w:left w:val="nil"/>
              <w:bottom w:val="single" w:sz="4" w:space="0" w:color="auto"/>
              <w:right w:val="nil"/>
            </w:tcBorders>
            <w:shd w:val="clear" w:color="auto" w:fill="auto"/>
            <w:noWrap/>
            <w:hideMark/>
          </w:tcPr>
          <w:p w14:paraId="611C8FF9" w14:textId="77777777" w:rsidR="00B0684C" w:rsidRPr="001424E2" w:rsidRDefault="00B0684C" w:rsidP="005211A7">
            <w:pPr>
              <w:spacing w:after="0" w:line="240" w:lineRule="auto"/>
              <w:rPr>
                <w:rFonts w:ascii="Calibri" w:eastAsia="Times New Roman" w:hAnsi="Calibri" w:cs="Calibri"/>
                <w:color w:val="000000"/>
              </w:rPr>
            </w:pPr>
            <w:r w:rsidRPr="001424E2">
              <w:rPr>
                <w:rFonts w:ascii="Calibri" w:eastAsia="Times New Roman" w:hAnsi="Calibri" w:cs="Calibri"/>
                <w:color w:val="000000"/>
              </w:rPr>
              <w:t> </w:t>
            </w:r>
          </w:p>
        </w:tc>
      </w:tr>
      <w:tr w:rsidR="00B0684C" w:rsidRPr="001424E2" w14:paraId="1CFDA5A1" w14:textId="77777777" w:rsidTr="00353F7C">
        <w:trPr>
          <w:trHeight w:val="64"/>
        </w:trPr>
        <w:tc>
          <w:tcPr>
            <w:tcW w:w="2022" w:type="dxa"/>
            <w:tcBorders>
              <w:top w:val="nil"/>
              <w:left w:val="nil"/>
              <w:bottom w:val="single" w:sz="8" w:space="0" w:color="7F7F7F"/>
              <w:right w:val="nil"/>
            </w:tcBorders>
            <w:shd w:val="clear" w:color="auto" w:fill="auto"/>
            <w:noWrap/>
            <w:vAlign w:val="center"/>
            <w:hideMark/>
          </w:tcPr>
          <w:p w14:paraId="747E6D50"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1979</w:t>
            </w:r>
          </w:p>
        </w:tc>
        <w:tc>
          <w:tcPr>
            <w:tcW w:w="1664" w:type="dxa"/>
            <w:tcBorders>
              <w:top w:val="nil"/>
              <w:left w:val="nil"/>
              <w:bottom w:val="single" w:sz="8" w:space="0" w:color="7F7F7F"/>
              <w:right w:val="nil"/>
            </w:tcBorders>
            <w:shd w:val="clear" w:color="auto" w:fill="auto"/>
            <w:noWrap/>
            <w:vAlign w:val="center"/>
            <w:hideMark/>
          </w:tcPr>
          <w:p w14:paraId="31347F43"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19</w:t>
            </w:r>
          </w:p>
        </w:tc>
        <w:tc>
          <w:tcPr>
            <w:tcW w:w="1462" w:type="dxa"/>
            <w:tcBorders>
              <w:top w:val="nil"/>
              <w:left w:val="nil"/>
              <w:bottom w:val="single" w:sz="8" w:space="0" w:color="7F7F7F"/>
              <w:right w:val="nil"/>
            </w:tcBorders>
            <w:shd w:val="clear" w:color="auto" w:fill="auto"/>
            <w:noWrap/>
            <w:vAlign w:val="center"/>
            <w:hideMark/>
          </w:tcPr>
          <w:p w14:paraId="46030814"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32</w:t>
            </w:r>
          </w:p>
        </w:tc>
        <w:tc>
          <w:tcPr>
            <w:tcW w:w="522" w:type="dxa"/>
            <w:tcBorders>
              <w:top w:val="nil"/>
              <w:left w:val="nil"/>
              <w:bottom w:val="nil"/>
              <w:right w:val="nil"/>
            </w:tcBorders>
            <w:shd w:val="clear" w:color="auto" w:fill="auto"/>
            <w:noWrap/>
            <w:hideMark/>
          </w:tcPr>
          <w:p w14:paraId="7D59BFD4"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nil"/>
              <w:left w:val="nil"/>
              <w:bottom w:val="single" w:sz="8" w:space="0" w:color="7F7F7F"/>
              <w:right w:val="nil"/>
            </w:tcBorders>
            <w:shd w:val="clear" w:color="auto" w:fill="auto"/>
            <w:noWrap/>
            <w:vAlign w:val="center"/>
            <w:hideMark/>
          </w:tcPr>
          <w:p w14:paraId="77211CAD"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12.8</w:t>
            </w:r>
          </w:p>
        </w:tc>
        <w:tc>
          <w:tcPr>
            <w:tcW w:w="1671" w:type="dxa"/>
            <w:tcBorders>
              <w:top w:val="nil"/>
              <w:left w:val="nil"/>
              <w:bottom w:val="single" w:sz="8" w:space="0" w:color="7F7F7F"/>
              <w:right w:val="nil"/>
            </w:tcBorders>
            <w:shd w:val="clear" w:color="auto" w:fill="auto"/>
            <w:noWrap/>
            <w:vAlign w:val="center"/>
            <w:hideMark/>
          </w:tcPr>
          <w:p w14:paraId="4C561202"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2.5</w:t>
            </w:r>
          </w:p>
        </w:tc>
      </w:tr>
      <w:tr w:rsidR="00B0684C" w:rsidRPr="001424E2" w14:paraId="36CBC987" w14:textId="77777777" w:rsidTr="00353F7C">
        <w:trPr>
          <w:trHeight w:val="54"/>
        </w:trPr>
        <w:tc>
          <w:tcPr>
            <w:tcW w:w="2022" w:type="dxa"/>
            <w:tcBorders>
              <w:top w:val="nil"/>
              <w:left w:val="nil"/>
              <w:bottom w:val="nil"/>
              <w:right w:val="nil"/>
            </w:tcBorders>
            <w:shd w:val="clear" w:color="auto" w:fill="auto"/>
            <w:noWrap/>
            <w:vAlign w:val="center"/>
            <w:hideMark/>
          </w:tcPr>
          <w:p w14:paraId="49C7CF3B"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1999</w:t>
            </w:r>
          </w:p>
        </w:tc>
        <w:tc>
          <w:tcPr>
            <w:tcW w:w="1664" w:type="dxa"/>
            <w:tcBorders>
              <w:top w:val="nil"/>
              <w:left w:val="nil"/>
              <w:bottom w:val="nil"/>
              <w:right w:val="nil"/>
            </w:tcBorders>
            <w:shd w:val="clear" w:color="auto" w:fill="auto"/>
            <w:noWrap/>
            <w:vAlign w:val="center"/>
            <w:hideMark/>
          </w:tcPr>
          <w:p w14:paraId="1165D7B0"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18</w:t>
            </w:r>
          </w:p>
        </w:tc>
        <w:tc>
          <w:tcPr>
            <w:tcW w:w="1462" w:type="dxa"/>
            <w:tcBorders>
              <w:top w:val="nil"/>
              <w:left w:val="nil"/>
              <w:bottom w:val="nil"/>
              <w:right w:val="nil"/>
            </w:tcBorders>
            <w:shd w:val="clear" w:color="auto" w:fill="auto"/>
            <w:noWrap/>
            <w:vAlign w:val="center"/>
            <w:hideMark/>
          </w:tcPr>
          <w:p w14:paraId="0B1038D5"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36</w:t>
            </w:r>
          </w:p>
        </w:tc>
        <w:tc>
          <w:tcPr>
            <w:tcW w:w="522" w:type="dxa"/>
            <w:tcBorders>
              <w:top w:val="nil"/>
              <w:left w:val="nil"/>
              <w:bottom w:val="nil"/>
              <w:right w:val="nil"/>
            </w:tcBorders>
            <w:shd w:val="clear" w:color="auto" w:fill="auto"/>
            <w:noWrap/>
            <w:hideMark/>
          </w:tcPr>
          <w:p w14:paraId="0860F835"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nil"/>
              <w:left w:val="nil"/>
              <w:bottom w:val="nil"/>
              <w:right w:val="nil"/>
            </w:tcBorders>
            <w:shd w:val="clear" w:color="auto" w:fill="auto"/>
            <w:noWrap/>
            <w:vAlign w:val="center"/>
            <w:hideMark/>
          </w:tcPr>
          <w:p w14:paraId="0B1EBEE8"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11.5</w:t>
            </w:r>
          </w:p>
        </w:tc>
        <w:tc>
          <w:tcPr>
            <w:tcW w:w="1671" w:type="dxa"/>
            <w:tcBorders>
              <w:top w:val="nil"/>
              <w:left w:val="nil"/>
              <w:bottom w:val="nil"/>
              <w:right w:val="nil"/>
            </w:tcBorders>
            <w:shd w:val="clear" w:color="auto" w:fill="auto"/>
            <w:noWrap/>
            <w:vAlign w:val="center"/>
            <w:hideMark/>
          </w:tcPr>
          <w:p w14:paraId="358E7FDB"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3.1</w:t>
            </w:r>
          </w:p>
        </w:tc>
      </w:tr>
      <w:tr w:rsidR="00B0684C" w:rsidRPr="001424E2" w14:paraId="375EADC6" w14:textId="77777777" w:rsidTr="00353F7C">
        <w:trPr>
          <w:trHeight w:val="54"/>
        </w:trPr>
        <w:tc>
          <w:tcPr>
            <w:tcW w:w="2022" w:type="dxa"/>
            <w:tcBorders>
              <w:top w:val="single" w:sz="8" w:space="0" w:color="7F7F7F"/>
              <w:left w:val="nil"/>
              <w:bottom w:val="single" w:sz="8" w:space="0" w:color="7F7F7F"/>
              <w:right w:val="nil"/>
            </w:tcBorders>
            <w:shd w:val="clear" w:color="auto" w:fill="auto"/>
            <w:noWrap/>
            <w:vAlign w:val="center"/>
            <w:hideMark/>
          </w:tcPr>
          <w:p w14:paraId="42FF1922" w14:textId="77777777" w:rsidR="00B0684C" w:rsidRPr="001424E2" w:rsidRDefault="00B0684C" w:rsidP="005211A7">
            <w:pPr>
              <w:spacing w:after="0" w:line="240" w:lineRule="auto"/>
              <w:jc w:val="right"/>
              <w:rPr>
                <w:rFonts w:ascii="Calibri" w:eastAsia="Times New Roman" w:hAnsi="Calibri" w:cs="Calibri"/>
                <w:b/>
                <w:bCs/>
                <w:color w:val="000000"/>
                <w:sz w:val="20"/>
                <w:szCs w:val="20"/>
              </w:rPr>
            </w:pPr>
            <w:r w:rsidRPr="001424E2">
              <w:rPr>
                <w:rFonts w:ascii="Calibri" w:eastAsia="Times New Roman" w:hAnsi="Calibri" w:cs="Calibri"/>
                <w:b/>
                <w:bCs/>
                <w:color w:val="000000"/>
                <w:sz w:val="20"/>
                <w:szCs w:val="20"/>
              </w:rPr>
              <w:t>2019</w:t>
            </w:r>
          </w:p>
        </w:tc>
        <w:tc>
          <w:tcPr>
            <w:tcW w:w="1664" w:type="dxa"/>
            <w:tcBorders>
              <w:top w:val="single" w:sz="8" w:space="0" w:color="7F7F7F"/>
              <w:left w:val="nil"/>
              <w:bottom w:val="single" w:sz="8" w:space="0" w:color="7F7F7F"/>
              <w:right w:val="nil"/>
            </w:tcBorders>
            <w:shd w:val="clear" w:color="auto" w:fill="auto"/>
            <w:noWrap/>
            <w:vAlign w:val="center"/>
            <w:hideMark/>
          </w:tcPr>
          <w:p w14:paraId="4F740611"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28</w:t>
            </w:r>
          </w:p>
        </w:tc>
        <w:tc>
          <w:tcPr>
            <w:tcW w:w="1462" w:type="dxa"/>
            <w:tcBorders>
              <w:top w:val="single" w:sz="8" w:space="0" w:color="7F7F7F"/>
              <w:left w:val="nil"/>
              <w:bottom w:val="single" w:sz="8" w:space="0" w:color="7F7F7F"/>
              <w:right w:val="nil"/>
            </w:tcBorders>
            <w:shd w:val="clear" w:color="auto" w:fill="auto"/>
            <w:noWrap/>
            <w:vAlign w:val="center"/>
            <w:hideMark/>
          </w:tcPr>
          <w:p w14:paraId="3119966A"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34</w:t>
            </w:r>
          </w:p>
        </w:tc>
        <w:tc>
          <w:tcPr>
            <w:tcW w:w="522" w:type="dxa"/>
            <w:tcBorders>
              <w:top w:val="nil"/>
              <w:left w:val="nil"/>
              <w:bottom w:val="nil"/>
              <w:right w:val="nil"/>
            </w:tcBorders>
            <w:shd w:val="clear" w:color="auto" w:fill="auto"/>
            <w:noWrap/>
            <w:hideMark/>
          </w:tcPr>
          <w:p w14:paraId="3DAC2AFD" w14:textId="77777777" w:rsidR="00B0684C" w:rsidRPr="001424E2" w:rsidRDefault="00B0684C" w:rsidP="005211A7">
            <w:pPr>
              <w:spacing w:after="0" w:line="240" w:lineRule="auto"/>
              <w:jc w:val="center"/>
              <w:rPr>
                <w:rFonts w:ascii="Calibri" w:eastAsia="Times New Roman" w:hAnsi="Calibri" w:cs="Calibri"/>
                <w:color w:val="000000"/>
                <w:sz w:val="20"/>
                <w:szCs w:val="20"/>
              </w:rPr>
            </w:pPr>
          </w:p>
        </w:tc>
        <w:tc>
          <w:tcPr>
            <w:tcW w:w="1671" w:type="dxa"/>
            <w:tcBorders>
              <w:top w:val="single" w:sz="8" w:space="0" w:color="7F7F7F"/>
              <w:left w:val="nil"/>
              <w:bottom w:val="single" w:sz="8" w:space="0" w:color="7F7F7F"/>
              <w:right w:val="nil"/>
            </w:tcBorders>
            <w:shd w:val="clear" w:color="auto" w:fill="auto"/>
            <w:noWrap/>
            <w:vAlign w:val="center"/>
            <w:hideMark/>
          </w:tcPr>
          <w:p w14:paraId="10F9F485"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10.5</w:t>
            </w:r>
          </w:p>
        </w:tc>
        <w:tc>
          <w:tcPr>
            <w:tcW w:w="1671" w:type="dxa"/>
            <w:tcBorders>
              <w:top w:val="single" w:sz="8" w:space="0" w:color="7F7F7F"/>
              <w:left w:val="nil"/>
              <w:bottom w:val="single" w:sz="8" w:space="0" w:color="7F7F7F"/>
              <w:right w:val="nil"/>
            </w:tcBorders>
            <w:shd w:val="clear" w:color="auto" w:fill="auto"/>
            <w:noWrap/>
            <w:vAlign w:val="center"/>
            <w:hideMark/>
          </w:tcPr>
          <w:p w14:paraId="6026462A" w14:textId="77777777" w:rsidR="00B0684C" w:rsidRPr="001424E2" w:rsidRDefault="00B0684C" w:rsidP="005211A7">
            <w:pPr>
              <w:spacing w:after="0" w:line="240" w:lineRule="auto"/>
              <w:jc w:val="center"/>
              <w:rPr>
                <w:rFonts w:ascii="Calibri" w:eastAsia="Times New Roman" w:hAnsi="Calibri" w:cs="Calibri"/>
                <w:color w:val="000000"/>
                <w:sz w:val="20"/>
                <w:szCs w:val="20"/>
              </w:rPr>
            </w:pPr>
            <w:r w:rsidRPr="001424E2">
              <w:rPr>
                <w:rFonts w:ascii="Calibri" w:eastAsia="Times New Roman" w:hAnsi="Calibri" w:cs="Calibri"/>
                <w:color w:val="000000"/>
                <w:sz w:val="20"/>
                <w:szCs w:val="20"/>
              </w:rPr>
              <w:t>3.2</w:t>
            </w:r>
          </w:p>
        </w:tc>
      </w:tr>
    </w:tbl>
    <w:p w14:paraId="731B6B36" w14:textId="77777777" w:rsidR="00F2017D" w:rsidRDefault="00FE1C76" w:rsidP="00F2017D">
      <w:pPr>
        <w:keepNext/>
      </w:pPr>
      <w:r>
        <w:rPr>
          <w:noProof/>
        </w:rPr>
        <w:lastRenderedPageBreak/>
        <w:drawing>
          <wp:inline distT="0" distB="0" distL="0" distR="0" wp14:anchorId="14580129" wp14:editId="1447D3EE">
            <wp:extent cx="5943600" cy="371475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lti_dendrogram.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943600" cy="3714750"/>
                    </a:xfrm>
                    <a:prstGeom prst="rect">
                      <a:avLst/>
                    </a:prstGeom>
                  </pic:spPr>
                </pic:pic>
              </a:graphicData>
            </a:graphic>
          </wp:inline>
        </w:drawing>
      </w:r>
    </w:p>
    <w:p w14:paraId="33960BA8" w14:textId="27DAB223" w:rsidR="00FE1C76" w:rsidRDefault="00F2017D" w:rsidP="00F2017D">
      <w:pPr>
        <w:pStyle w:val="Caption"/>
      </w:pPr>
      <w:r>
        <w:t xml:space="preserve">Figure </w:t>
      </w:r>
      <w:r>
        <w:fldChar w:fldCharType="begin"/>
      </w:r>
      <w:r>
        <w:instrText xml:space="preserve"> SEQ Figure \* ARABIC </w:instrText>
      </w:r>
      <w:r>
        <w:fldChar w:fldCharType="separate"/>
      </w:r>
      <w:r w:rsidR="00B051DD">
        <w:rPr>
          <w:noProof/>
        </w:rPr>
        <w:t>2</w:t>
      </w:r>
      <w:r>
        <w:fldChar w:fldCharType="end"/>
      </w:r>
      <w:r>
        <w:t xml:space="preserve">. </w:t>
      </w:r>
      <w:r w:rsidR="00DD2FCF">
        <w:t>A</w:t>
      </w:r>
      <w:r w:rsidR="00A00E4C">
        <w:t xml:space="preserve">ssemblage </w:t>
      </w:r>
      <w:r w:rsidR="00DD2FCF">
        <w:t>diversity</w:t>
      </w:r>
      <w:r w:rsidR="00A00E4C">
        <w:t xml:space="preserve"> becomes more dissimilar over time, as shown by greater Euclidean distance between</w:t>
      </w:r>
      <w:r w:rsidR="00DD2FCF">
        <w:t xml:space="preserve"> assemblage types</w:t>
      </w:r>
      <w:r>
        <w:t xml:space="preserve">. Euclidean distance chosen b/c that's what original authors did. I still need to take out plot #s at leaves. </w:t>
      </w:r>
    </w:p>
    <w:p w14:paraId="12362B32" w14:textId="77777777" w:rsidR="0018553F" w:rsidRDefault="0018553F" w:rsidP="0018553F">
      <w:pPr>
        <w:keepNext/>
      </w:pPr>
      <w:r>
        <w:rPr>
          <w:noProof/>
        </w:rPr>
        <w:drawing>
          <wp:inline distT="0" distB="0" distL="0" distR="0" wp14:anchorId="71482AC1" wp14:editId="4E5619C1">
            <wp:extent cx="5115464" cy="3157693"/>
            <wp:effectExtent l="0" t="0" r="0" b="508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dner_EndemicAbund_stacked_bar.sv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19852" cy="3160401"/>
                    </a:xfrm>
                    <a:prstGeom prst="rect">
                      <a:avLst/>
                    </a:prstGeom>
                  </pic:spPr>
                </pic:pic>
              </a:graphicData>
            </a:graphic>
          </wp:inline>
        </w:drawing>
      </w:r>
    </w:p>
    <w:p w14:paraId="258DC04E" w14:textId="1ECEB913" w:rsidR="0018553F" w:rsidRDefault="0018553F" w:rsidP="0018553F">
      <w:pPr>
        <w:pStyle w:val="Caption"/>
      </w:pPr>
      <w:r>
        <w:t xml:space="preserve">Figure </w:t>
      </w:r>
      <w:r>
        <w:fldChar w:fldCharType="begin"/>
      </w:r>
      <w:r>
        <w:instrText xml:space="preserve"> SEQ Figure \* ARABIC </w:instrText>
      </w:r>
      <w:r>
        <w:fldChar w:fldCharType="separate"/>
      </w:r>
      <w:r w:rsidR="00B051DD">
        <w:rPr>
          <w:noProof/>
        </w:rPr>
        <w:t>3</w:t>
      </w:r>
      <w:r>
        <w:fldChar w:fldCharType="end"/>
      </w:r>
      <w:r>
        <w:t xml:space="preserve">. Fescue assemblage has greatest increase of invasive species abundance over time. Revise figure to show </w:t>
      </w:r>
      <w:r w:rsidR="009C2620">
        <w:t>species gained/lost over time, and greatest shifts</w:t>
      </w:r>
      <w:r w:rsidR="00130DE3">
        <w:t xml:space="preserve"> in gains/losses</w:t>
      </w:r>
      <w:r w:rsidR="009C2620">
        <w:t xml:space="preserve">. Contextualize as management concern of invasive species encroachment, and potential loss of </w:t>
      </w:r>
      <w:r w:rsidR="00FC461A">
        <w:t xml:space="preserve">species of conservation interest (e.g., Henderson’s </w:t>
      </w:r>
      <w:proofErr w:type="spellStart"/>
      <w:r w:rsidR="00FC461A">
        <w:t>checkermallow</w:t>
      </w:r>
      <w:proofErr w:type="spellEnd"/>
      <w:r w:rsidR="00FC461A">
        <w:t>)</w:t>
      </w:r>
    </w:p>
    <w:p w14:paraId="6B0E54AC" w14:textId="1FD32B98" w:rsidR="00D81CB7" w:rsidRDefault="00D81CB7" w:rsidP="00D81CB7"/>
    <w:p w14:paraId="36087870" w14:textId="08886B48" w:rsidR="00D81CB7" w:rsidRDefault="00D81CB7" w:rsidP="00D81CB7">
      <w:pPr>
        <w:pStyle w:val="Heading1"/>
      </w:pPr>
      <w:r>
        <w:lastRenderedPageBreak/>
        <w:t>Discussion</w:t>
      </w:r>
    </w:p>
    <w:p w14:paraId="74887056" w14:textId="32827E53" w:rsidR="000D3031" w:rsidRDefault="000D3031" w:rsidP="000D3031">
      <w:pPr>
        <w:pStyle w:val="ListParagraph"/>
        <w:numPr>
          <w:ilvl w:val="0"/>
          <w:numId w:val="4"/>
        </w:numPr>
      </w:pPr>
      <w:r>
        <w:t xml:space="preserve">Answer questions/hypotheses: </w:t>
      </w:r>
    </w:p>
    <w:p w14:paraId="4D813491" w14:textId="2BE046AC" w:rsidR="00D541D1" w:rsidRDefault="00D541D1" w:rsidP="00D541D1">
      <w:pPr>
        <w:pStyle w:val="ListParagraph"/>
        <w:numPr>
          <w:ilvl w:val="1"/>
          <w:numId w:val="4"/>
        </w:numPr>
      </w:pPr>
      <w:r>
        <w:t xml:space="preserve">(1) Key species defining TFM assemblage types have remained stable. </w:t>
      </w:r>
      <w:r w:rsidR="00CA4346">
        <w:t xml:space="preserve">Hypothesis not rejected. </w:t>
      </w:r>
    </w:p>
    <w:p w14:paraId="4AAEA2B3" w14:textId="5A537F54" w:rsidR="00D541D1" w:rsidRDefault="00D541D1" w:rsidP="00D541D1">
      <w:pPr>
        <w:pStyle w:val="ListParagraph"/>
        <w:numPr>
          <w:ilvl w:val="1"/>
          <w:numId w:val="4"/>
        </w:numPr>
      </w:pPr>
      <w:r>
        <w:t xml:space="preserve">(2) All assemblages show greater dissimilarity between assemblage types. </w:t>
      </w:r>
      <w:r w:rsidR="00CA4346">
        <w:t>Hypothesis rejected.</w:t>
      </w:r>
    </w:p>
    <w:p w14:paraId="0C6A324B" w14:textId="45B52ECC" w:rsidR="00B1370A" w:rsidRDefault="00D541D1" w:rsidP="00B1370A">
      <w:pPr>
        <w:pStyle w:val="ListParagraph"/>
        <w:numPr>
          <w:ilvl w:val="1"/>
          <w:numId w:val="4"/>
        </w:numPr>
      </w:pPr>
      <w:r>
        <w:t xml:space="preserve">(3) </w:t>
      </w:r>
      <w:r w:rsidR="00B1370A">
        <w:t xml:space="preserve">Certain assemblages do not </w:t>
      </w:r>
      <w:r w:rsidR="00C67DE7">
        <w:t>appear stable</w:t>
      </w:r>
      <w:r w:rsidR="00B1370A">
        <w:t xml:space="preserve"> within assemblage type</w:t>
      </w:r>
      <w:r w:rsidR="0086653A">
        <w:t>, although to varying degrees</w:t>
      </w:r>
      <w:r w:rsidR="00B1370A">
        <w:t xml:space="preserve">: </w:t>
      </w:r>
      <w:r w:rsidR="000D3031">
        <w:t xml:space="preserve">Fescue assemblage shows greatest change in </w:t>
      </w:r>
      <w:r w:rsidR="000D3031">
        <w:rPr>
          <w:rFonts w:cstheme="minorHAnsi"/>
        </w:rPr>
        <w:t>α</w:t>
      </w:r>
      <w:r w:rsidR="000D3031">
        <w:t>-</w:t>
      </w:r>
      <w:r w:rsidR="000D3031" w:rsidRPr="000D3031">
        <w:t xml:space="preserve"> </w:t>
      </w:r>
      <w:r w:rsidR="000D3031">
        <w:t>diversity</w:t>
      </w:r>
      <w:r w:rsidR="00B1370A">
        <w:t>; &lt;</w:t>
      </w:r>
      <w:r w:rsidR="00B1370A">
        <w:rPr>
          <w:i/>
        </w:rPr>
        <w:t xml:space="preserve">key result for </w:t>
      </w:r>
      <w:r w:rsidR="00B1370A">
        <w:rPr>
          <w:rFonts w:cstheme="minorHAnsi"/>
          <w:i/>
        </w:rPr>
        <w:t>β</w:t>
      </w:r>
      <w:r w:rsidR="00B1370A">
        <w:rPr>
          <w:i/>
        </w:rPr>
        <w:t>-diversity</w:t>
      </w:r>
      <w:r w:rsidR="00B1370A">
        <w:t>&gt;</w:t>
      </w:r>
      <w:r w:rsidR="000D3031">
        <w:t xml:space="preserve"> </w:t>
      </w:r>
      <w:r w:rsidR="0086653A">
        <w:t>Hypothesis partially rejected.</w:t>
      </w:r>
    </w:p>
    <w:p w14:paraId="66BEFFD1" w14:textId="50F27C08" w:rsidR="0086653A" w:rsidRDefault="00D541D1" w:rsidP="0086653A">
      <w:pPr>
        <w:pStyle w:val="ListParagraph"/>
        <w:numPr>
          <w:ilvl w:val="1"/>
          <w:numId w:val="4"/>
        </w:numPr>
      </w:pPr>
      <w:r>
        <w:t xml:space="preserve">(4) </w:t>
      </w:r>
      <w:r w:rsidR="004C3D45">
        <w:t>Significant changes of invasive species abundance were observed in the fescue community type</w:t>
      </w:r>
      <w:r w:rsidR="00D5322B">
        <w:t xml:space="preserve">, which showed the greatest </w:t>
      </w:r>
      <w:r w:rsidR="00A73066">
        <w:t>species homogenization</w:t>
      </w:r>
      <w:r w:rsidR="004C3D45">
        <w:t>; &lt;</w:t>
      </w:r>
      <w:r w:rsidR="004C3D45">
        <w:rPr>
          <w:i/>
        </w:rPr>
        <w:t>loss of key native species abundance?</w:t>
      </w:r>
      <w:r w:rsidR="004C3D45">
        <w:t>&gt;</w:t>
      </w:r>
      <w:r w:rsidR="0086653A">
        <w:t xml:space="preserve"> Hypothesis not rejected. </w:t>
      </w:r>
    </w:p>
    <w:p w14:paraId="1CF19A8A" w14:textId="558C704A" w:rsidR="00D541D1" w:rsidRDefault="00D541D1" w:rsidP="00D81CB7">
      <w:pPr>
        <w:pStyle w:val="ListParagraph"/>
        <w:numPr>
          <w:ilvl w:val="0"/>
          <w:numId w:val="3"/>
        </w:numPr>
      </w:pPr>
      <w:r>
        <w:t>(1)</w:t>
      </w:r>
      <w:r w:rsidR="0086653A">
        <w:t xml:space="preserve"> Key species that define assemblage types, and together define TFM community compositional structure, </w:t>
      </w:r>
      <w:r w:rsidR="000B2B17">
        <w:t xml:space="preserve">have remained the same within Ladner Marsh. This indicates that overall environmental drivers of TFM ecosystem stability are largely unchanged, and functional capacity </w:t>
      </w:r>
      <w:r w:rsidR="007F552F">
        <w:t>intact</w:t>
      </w:r>
      <w:r w:rsidR="000B2B17">
        <w:t xml:space="preserve">. </w:t>
      </w:r>
    </w:p>
    <w:p w14:paraId="16340F34" w14:textId="2A867A6D" w:rsidR="000B2B17" w:rsidRDefault="00A641B0" w:rsidP="000B2B17">
      <w:pPr>
        <w:pStyle w:val="ListParagraph"/>
        <w:numPr>
          <w:ilvl w:val="1"/>
          <w:numId w:val="3"/>
        </w:numPr>
      </w:pPr>
      <w:r>
        <w:t>Briefly e</w:t>
      </w:r>
      <w:r w:rsidR="007F552F">
        <w:t>laborate on key functions, especially for sedge (</w:t>
      </w:r>
      <w:r w:rsidR="007F552F">
        <w:rPr>
          <w:i/>
        </w:rPr>
        <w:t>Carex lyngbyei</w:t>
      </w:r>
      <w:r w:rsidR="007F552F">
        <w:t xml:space="preserve">) as early-season juvenile fish habitat. </w:t>
      </w:r>
    </w:p>
    <w:p w14:paraId="6FD1276D" w14:textId="77777777" w:rsidR="00B32C11" w:rsidRDefault="00B32C11" w:rsidP="00B32C11">
      <w:pPr>
        <w:pStyle w:val="ListParagraph"/>
        <w:numPr>
          <w:ilvl w:val="0"/>
          <w:numId w:val="3"/>
        </w:numPr>
      </w:pPr>
      <w:r>
        <w:t xml:space="preserve">(2) Edaphic factors may be driving species selection by adaptation to saturation or drainage between assemblage patches, more strictly partitioning the diversity of species that can occupy an assemblage. Additionally, recruitment of new diverse individuals into the assemblage may be limited. </w:t>
      </w:r>
    </w:p>
    <w:p w14:paraId="3A948C24" w14:textId="6ED47ABE" w:rsidR="00B32C11" w:rsidRDefault="00B32C11" w:rsidP="00B32C11">
      <w:pPr>
        <w:pStyle w:val="ListParagraph"/>
        <w:numPr>
          <w:ilvl w:val="1"/>
          <w:numId w:val="3"/>
        </w:numPr>
      </w:pPr>
      <w:r>
        <w:t>Bring in topics of sediment trapping vs. starvation, marsh subsidence. Can suggest that future studies to measure dendritic channel edge gains/losses through erosion and sedimentation rates may provide mechanistic insight to drivers of microsite edaphic conditions.</w:t>
      </w:r>
    </w:p>
    <w:p w14:paraId="7E012CE3" w14:textId="066D4B00" w:rsidR="00D81CB7" w:rsidRDefault="00FF4F6C" w:rsidP="00D81CB7">
      <w:pPr>
        <w:pStyle w:val="ListParagraph"/>
        <w:numPr>
          <w:ilvl w:val="0"/>
          <w:numId w:val="3"/>
        </w:numPr>
      </w:pPr>
      <w:r>
        <w:t>(</w:t>
      </w:r>
      <w:r w:rsidR="00B32C11">
        <w:t>3</w:t>
      </w:r>
      <w:r>
        <w:t xml:space="preserve">) </w:t>
      </w:r>
      <w:r w:rsidR="00A35DB7">
        <w:t xml:space="preserve">Loss of species diversity within </w:t>
      </w:r>
      <w:r w:rsidR="00D147AF">
        <w:t xml:space="preserve">each assemblage type may be driven by </w:t>
      </w:r>
      <w:r w:rsidR="00F73B25">
        <w:t xml:space="preserve">loss of recruitment of new diverse individuals. Additionally, expansion of invasive species, especially in fescue group, is likely preempting space for additional diversity. </w:t>
      </w:r>
    </w:p>
    <w:p w14:paraId="0D4239A3" w14:textId="0498C1FC" w:rsidR="0015552F" w:rsidRDefault="0015552F" w:rsidP="0015552F">
      <w:pPr>
        <w:pStyle w:val="ListParagraph"/>
        <w:numPr>
          <w:ilvl w:val="1"/>
          <w:numId w:val="3"/>
        </w:numPr>
      </w:pPr>
      <w:r>
        <w:t xml:space="preserve">Bring in topics of </w:t>
      </w:r>
      <w:r w:rsidR="005F30A9">
        <w:t xml:space="preserve">challenging environment for seed recruitment, and potential required clonal expansion from higher elevations. Cite my own APPS paper (pending publication)? </w:t>
      </w:r>
    </w:p>
    <w:p w14:paraId="54180E0C" w14:textId="03F5930E" w:rsidR="00FF4F6C" w:rsidRDefault="00B32C11" w:rsidP="00FF4F6C">
      <w:pPr>
        <w:pStyle w:val="ListParagraph"/>
        <w:numPr>
          <w:ilvl w:val="0"/>
          <w:numId w:val="3"/>
        </w:numPr>
      </w:pPr>
      <w:r>
        <w:t xml:space="preserve"> </w:t>
      </w:r>
      <w:r w:rsidR="00FF4F6C">
        <w:t>(</w:t>
      </w:r>
      <w:r>
        <w:t>4</w:t>
      </w:r>
      <w:r w:rsidR="00FF4F6C">
        <w:t xml:space="preserve">) </w:t>
      </w:r>
      <w:r w:rsidR="00B17DDE">
        <w:t>Invasive species of concern in the fescue assemblage are rhizomatous perennials that notoriously dominate communities, such as reed canary grass (</w:t>
      </w:r>
      <w:proofErr w:type="spellStart"/>
      <w:r w:rsidR="00B17DDE">
        <w:rPr>
          <w:i/>
        </w:rPr>
        <w:t>Phalaris</w:t>
      </w:r>
      <w:proofErr w:type="spellEnd"/>
      <w:r w:rsidR="00B17DDE">
        <w:rPr>
          <w:i/>
        </w:rPr>
        <w:t xml:space="preserve"> arundinaceae</w:t>
      </w:r>
      <w:r w:rsidR="00B17DDE">
        <w:t>)</w:t>
      </w:r>
      <w:r w:rsidR="007B643A">
        <w:t xml:space="preserve"> and purple loosestrife (</w:t>
      </w:r>
      <w:proofErr w:type="spellStart"/>
      <w:r w:rsidR="007B643A">
        <w:rPr>
          <w:i/>
        </w:rPr>
        <w:t>Lythrum</w:t>
      </w:r>
      <w:proofErr w:type="spellEnd"/>
      <w:r w:rsidR="007B643A">
        <w:rPr>
          <w:i/>
        </w:rPr>
        <w:t xml:space="preserve"> </w:t>
      </w:r>
      <w:proofErr w:type="spellStart"/>
      <w:r w:rsidR="007B643A">
        <w:rPr>
          <w:i/>
        </w:rPr>
        <w:t>salicaria</w:t>
      </w:r>
      <w:proofErr w:type="spellEnd"/>
      <w:r w:rsidR="007B643A">
        <w:t xml:space="preserve">). Surprisingly, creeping </w:t>
      </w:r>
      <w:proofErr w:type="spellStart"/>
      <w:r w:rsidR="007B643A">
        <w:t>bentgrass</w:t>
      </w:r>
      <w:proofErr w:type="spellEnd"/>
      <w:r w:rsidR="007B643A">
        <w:t xml:space="preserve"> (</w:t>
      </w:r>
      <w:r w:rsidR="007B643A">
        <w:rPr>
          <w:i/>
        </w:rPr>
        <w:t>Agrostis stolonifera</w:t>
      </w:r>
      <w:r w:rsidR="007B643A">
        <w:t xml:space="preserve">) is not as dominant in this assemblage, although it is of increasing dominance in the other two assemblage types. </w:t>
      </w:r>
    </w:p>
    <w:p w14:paraId="41003BE5" w14:textId="3CA3B1C9" w:rsidR="00392DC9" w:rsidRDefault="007B643A" w:rsidP="00392DC9">
      <w:pPr>
        <w:pStyle w:val="ListParagraph"/>
        <w:numPr>
          <w:ilvl w:val="1"/>
          <w:numId w:val="3"/>
        </w:numPr>
      </w:pPr>
      <w:r>
        <w:t xml:space="preserve">Discuss key native species lost, with particular attention to blue-listed species such as Henderson’s </w:t>
      </w:r>
      <w:proofErr w:type="spellStart"/>
      <w:r>
        <w:t>checkermallow</w:t>
      </w:r>
      <w:proofErr w:type="spellEnd"/>
      <w:r>
        <w:t xml:space="preserve"> (</w:t>
      </w:r>
      <w:r w:rsidRPr="00FF4F6C">
        <w:rPr>
          <w:i/>
        </w:rPr>
        <w:t>Sidalcea hendersonii</w:t>
      </w:r>
      <w:r w:rsidR="009E6EF0">
        <w:t>,</w:t>
      </w:r>
      <w:r w:rsidR="00A94B74">
        <w:t xml:space="preserve"> globally</w:t>
      </w:r>
      <w:r w:rsidR="009E6EF0">
        <w:t xml:space="preserve"> </w:t>
      </w:r>
      <w:r w:rsidR="00A94B74">
        <w:t>nearly</w:t>
      </w:r>
      <w:r w:rsidR="009E6EF0">
        <w:t xml:space="preserve"> exclusive</w:t>
      </w:r>
      <w:r w:rsidR="00A94B74">
        <w:t xml:space="preserve"> to the</w:t>
      </w:r>
      <w:r w:rsidR="009E6EF0">
        <w:t xml:space="preserve"> lower Fraser River Estuary</w:t>
      </w:r>
      <w:r w:rsidR="00CA3FA9">
        <w:t xml:space="preserve"> per </w:t>
      </w:r>
      <w:proofErr w:type="spellStart"/>
      <w:r w:rsidR="00CA3FA9">
        <w:t>Lomer</w:t>
      </w:r>
      <w:proofErr w:type="spellEnd"/>
      <w:r w:rsidR="00CA3FA9">
        <w:t>, 2008</w:t>
      </w:r>
      <w:r>
        <w:t xml:space="preserve">), and </w:t>
      </w:r>
      <w:r w:rsidR="005B182C">
        <w:t>pointed rush (</w:t>
      </w:r>
      <w:r w:rsidR="005B182C" w:rsidRPr="00FF4F6C">
        <w:rPr>
          <w:i/>
        </w:rPr>
        <w:t xml:space="preserve">Juncus </w:t>
      </w:r>
      <w:proofErr w:type="spellStart"/>
      <w:r w:rsidR="005B182C" w:rsidRPr="00FF4F6C">
        <w:rPr>
          <w:i/>
        </w:rPr>
        <w:t>oxymeris</w:t>
      </w:r>
      <w:proofErr w:type="spellEnd"/>
      <w:r w:rsidR="00A863CC">
        <w:t xml:space="preserve">, locally abundant but limited range within Fraser River Estuary). </w:t>
      </w:r>
    </w:p>
    <w:p w14:paraId="5927B2C2" w14:textId="4BD1AFBA" w:rsidR="007D3FF6" w:rsidRDefault="007D3FF6" w:rsidP="00392DC9">
      <w:pPr>
        <w:pStyle w:val="ListParagraph"/>
        <w:numPr>
          <w:ilvl w:val="0"/>
          <w:numId w:val="3"/>
        </w:numPr>
      </w:pPr>
      <w:r>
        <w:t>Discussion of inference limitations, and strengths</w:t>
      </w:r>
      <w:r w:rsidR="00E16842">
        <w:t xml:space="preserve"> of comparisons. </w:t>
      </w:r>
    </w:p>
    <w:p w14:paraId="464F515B" w14:textId="1DB84772" w:rsidR="00E16842" w:rsidRDefault="00E16842" w:rsidP="00E16842">
      <w:pPr>
        <w:pStyle w:val="ListParagraph"/>
        <w:numPr>
          <w:ilvl w:val="1"/>
          <w:numId w:val="3"/>
        </w:numPr>
      </w:pPr>
      <w:r>
        <w:t xml:space="preserve">Acknowledge transect relocation and sampling method likely alters results, however </w:t>
      </w:r>
      <w:r w:rsidR="007C4787">
        <w:t xml:space="preserve">still provides a ‘snapshot’ of marsh-wide conditions along a major tidal channel. </w:t>
      </w:r>
    </w:p>
    <w:p w14:paraId="559F057D" w14:textId="5DCE949A" w:rsidR="00392DC9" w:rsidRDefault="00DB370D" w:rsidP="00392DC9">
      <w:pPr>
        <w:pStyle w:val="ListParagraph"/>
        <w:numPr>
          <w:ilvl w:val="0"/>
          <w:numId w:val="3"/>
        </w:numPr>
      </w:pPr>
      <w:r>
        <w:t>Conservation and restoration of TFMs is a management priority (e.g., Canada’s Sea Level Rise Adaptation programs &amp; major funding given to BC SRIF/CRF</w:t>
      </w:r>
      <w:r w:rsidR="00405FBE">
        <w:t xml:space="preserve"> for salmonid habitat</w:t>
      </w:r>
      <w:r>
        <w:t xml:space="preserve">). </w:t>
      </w:r>
    </w:p>
    <w:p w14:paraId="0612F20A" w14:textId="77777777" w:rsidR="00392DC9" w:rsidRDefault="00DB370D" w:rsidP="00392DC9">
      <w:pPr>
        <w:pStyle w:val="ListParagraph"/>
        <w:numPr>
          <w:ilvl w:val="1"/>
          <w:numId w:val="3"/>
        </w:numPr>
      </w:pPr>
      <w:r>
        <w:t xml:space="preserve">Major objectives of these programs focus on habitat creation, with success targeted on 50-100-year horizons. </w:t>
      </w:r>
    </w:p>
    <w:p w14:paraId="1E1E74C7" w14:textId="77777777" w:rsidR="00C32D1F" w:rsidRDefault="00392DC9" w:rsidP="00392DC9">
      <w:pPr>
        <w:pStyle w:val="ListParagraph"/>
        <w:numPr>
          <w:ilvl w:val="1"/>
          <w:numId w:val="3"/>
        </w:numPr>
      </w:pPr>
      <w:r>
        <w:t xml:space="preserve">Sites with a longer conservation history, such as the South Arm Marshes WMA are often used as ‘reference’ conditions for evaluating restoration success. </w:t>
      </w:r>
    </w:p>
    <w:p w14:paraId="48A1F1BF" w14:textId="64B31B5A" w:rsidR="00392DC9" w:rsidRDefault="00DB370D" w:rsidP="00392DC9">
      <w:pPr>
        <w:pStyle w:val="ListParagraph"/>
        <w:numPr>
          <w:ilvl w:val="1"/>
          <w:numId w:val="3"/>
        </w:numPr>
      </w:pPr>
      <w:r>
        <w:t>Therefore, it is important to understand what plant community stability looks like in TFMs, and whether remnant TFMs</w:t>
      </w:r>
      <w:r w:rsidR="00C32D1F">
        <w:t xml:space="preserve"> used as reference</w:t>
      </w:r>
      <w:r>
        <w:t xml:space="preserve"> are persisting in a stable state over these timescales. </w:t>
      </w:r>
    </w:p>
    <w:p w14:paraId="50D58B2A" w14:textId="77777777" w:rsidR="00E67759" w:rsidRDefault="00DB370D" w:rsidP="0032580F">
      <w:pPr>
        <w:pStyle w:val="ListParagraph"/>
        <w:numPr>
          <w:ilvl w:val="0"/>
          <w:numId w:val="3"/>
        </w:numPr>
      </w:pPr>
      <w:r>
        <w:lastRenderedPageBreak/>
        <w:t xml:space="preserve">I showed that </w:t>
      </w:r>
      <w:r w:rsidR="00A94B74">
        <w:t xml:space="preserve">plant communities are responding to </w:t>
      </w:r>
      <w:r w:rsidR="00C32D1F">
        <w:t>environmental pressures, and baseline reference conditions are shifting to a more homogenized state within assemblage types, and more dissimilar between assemblage types.</w:t>
      </w:r>
      <w:r w:rsidR="0032580F">
        <w:t xml:space="preserve"> &lt;</w:t>
      </w:r>
      <w:r w:rsidR="0032580F">
        <w:rPr>
          <w:i/>
        </w:rPr>
        <w:t>summary statement regarding species gain/loss</w:t>
      </w:r>
      <w:r w:rsidR="0032580F">
        <w:t>&gt;</w:t>
      </w:r>
      <w:r w:rsidR="00C32D1F">
        <w:t xml:space="preserve"> </w:t>
      </w:r>
    </w:p>
    <w:p w14:paraId="0A7E5962" w14:textId="540EA4CF" w:rsidR="00DB370D" w:rsidRDefault="00C32D1F" w:rsidP="0032580F">
      <w:pPr>
        <w:pStyle w:val="ListParagraph"/>
        <w:numPr>
          <w:ilvl w:val="0"/>
          <w:numId w:val="3"/>
        </w:numPr>
      </w:pPr>
      <w:r>
        <w:t xml:space="preserve">These </w:t>
      </w:r>
      <w:r w:rsidR="0032580F">
        <w:t xml:space="preserve">shifts over time should be of concern to managers working to conserve habitat for salmonid habitat, and to restoration practitioners using </w:t>
      </w:r>
      <w:r w:rsidR="005622C3">
        <w:t xml:space="preserve">similar sites as thresholds for success. </w:t>
      </w:r>
      <w:r w:rsidR="0032580F">
        <w:t xml:space="preserve"> </w:t>
      </w:r>
    </w:p>
    <w:p w14:paraId="033C2949" w14:textId="0CA28971" w:rsidR="00340BB0" w:rsidRDefault="00340BB0">
      <w:r>
        <w:br w:type="page"/>
      </w:r>
    </w:p>
    <w:p w14:paraId="527F62BB" w14:textId="1144F127" w:rsidR="00D81CB7" w:rsidRDefault="00340BB0" w:rsidP="00340BB0">
      <w:pPr>
        <w:pStyle w:val="Heading1"/>
      </w:pPr>
      <w:r>
        <w:lastRenderedPageBreak/>
        <w:t>Literature Cited</w:t>
      </w:r>
    </w:p>
    <w:p w14:paraId="63ACA1CB" w14:textId="77777777" w:rsidR="00340BB0" w:rsidRPr="00340BB0" w:rsidRDefault="00340BB0" w:rsidP="00340BB0">
      <w:pPr>
        <w:pStyle w:val="Bibliography"/>
        <w:rPr>
          <w:rFonts w:ascii="Calibri" w:hAnsi="Calibri" w:cs="Calibri"/>
        </w:rPr>
      </w:pPr>
      <w:r>
        <w:fldChar w:fldCharType="begin"/>
      </w:r>
      <w:r>
        <w:instrText xml:space="preserve"> ADDIN ZOTERO_BIBL {"uncited":[],"omitted":[],"custom":[]} CSL_BIBLIOGRAPHY </w:instrText>
      </w:r>
      <w:r>
        <w:fldChar w:fldCharType="separate"/>
      </w:r>
      <w:r w:rsidRPr="00340BB0">
        <w:rPr>
          <w:rFonts w:ascii="Calibri" w:hAnsi="Calibri" w:cs="Calibri"/>
        </w:rPr>
        <w:t xml:space="preserve">Bradfield, G. E., &amp; Porter, G. L. (1982). Vegetation structure and diversity components of a Fraser estuary tidal marsh. </w:t>
      </w:r>
      <w:r w:rsidRPr="00340BB0">
        <w:rPr>
          <w:rFonts w:ascii="Calibri" w:hAnsi="Calibri" w:cs="Calibri"/>
          <w:i/>
          <w:iCs/>
        </w:rPr>
        <w:t>Canadian Journal of Botany</w:t>
      </w:r>
      <w:r w:rsidRPr="00340BB0">
        <w:rPr>
          <w:rFonts w:ascii="Calibri" w:hAnsi="Calibri" w:cs="Calibri"/>
        </w:rPr>
        <w:t xml:space="preserve">, </w:t>
      </w:r>
      <w:r w:rsidRPr="00340BB0">
        <w:rPr>
          <w:rFonts w:ascii="Calibri" w:hAnsi="Calibri" w:cs="Calibri"/>
          <w:i/>
          <w:iCs/>
        </w:rPr>
        <w:t>60</w:t>
      </w:r>
      <w:r w:rsidRPr="00340BB0">
        <w:rPr>
          <w:rFonts w:ascii="Calibri" w:hAnsi="Calibri" w:cs="Calibri"/>
        </w:rPr>
        <w:t>, 440–451.</w:t>
      </w:r>
    </w:p>
    <w:p w14:paraId="70C7CA60" w14:textId="77777777" w:rsidR="00340BB0" w:rsidRPr="00340BB0" w:rsidRDefault="00340BB0" w:rsidP="00340BB0">
      <w:pPr>
        <w:pStyle w:val="Bibliography"/>
        <w:rPr>
          <w:rFonts w:ascii="Calibri" w:hAnsi="Calibri" w:cs="Calibri"/>
        </w:rPr>
      </w:pPr>
      <w:proofErr w:type="spellStart"/>
      <w:r w:rsidRPr="00340BB0">
        <w:rPr>
          <w:rFonts w:ascii="Calibri" w:hAnsi="Calibri" w:cs="Calibri"/>
        </w:rPr>
        <w:t>Denoth</w:t>
      </w:r>
      <w:proofErr w:type="spellEnd"/>
      <w:r w:rsidRPr="00340BB0">
        <w:rPr>
          <w:rFonts w:ascii="Calibri" w:hAnsi="Calibri" w:cs="Calibri"/>
        </w:rPr>
        <w:t xml:space="preserve">, M., &amp; Myers, J. H. (2007). Competition between </w:t>
      </w:r>
      <w:proofErr w:type="spellStart"/>
      <w:r w:rsidRPr="00E07E08">
        <w:rPr>
          <w:rFonts w:ascii="Calibri" w:hAnsi="Calibri" w:cs="Calibri"/>
          <w:i/>
        </w:rPr>
        <w:t>Lythrum</w:t>
      </w:r>
      <w:proofErr w:type="spellEnd"/>
      <w:r w:rsidRPr="00E07E08">
        <w:rPr>
          <w:rFonts w:ascii="Calibri" w:hAnsi="Calibri" w:cs="Calibri"/>
          <w:i/>
        </w:rPr>
        <w:t xml:space="preserve"> </w:t>
      </w:r>
      <w:proofErr w:type="spellStart"/>
      <w:r w:rsidRPr="00E07E08">
        <w:rPr>
          <w:rFonts w:ascii="Calibri" w:hAnsi="Calibri" w:cs="Calibri"/>
          <w:i/>
        </w:rPr>
        <w:t>salicaria</w:t>
      </w:r>
      <w:proofErr w:type="spellEnd"/>
      <w:r w:rsidRPr="00340BB0">
        <w:rPr>
          <w:rFonts w:ascii="Calibri" w:hAnsi="Calibri" w:cs="Calibri"/>
        </w:rPr>
        <w:t xml:space="preserve"> and a rare species: Combining evidence from experiments and long-term monitoring. </w:t>
      </w:r>
      <w:r w:rsidRPr="00340BB0">
        <w:rPr>
          <w:rFonts w:ascii="Calibri" w:hAnsi="Calibri" w:cs="Calibri"/>
          <w:i/>
          <w:iCs/>
        </w:rPr>
        <w:t>Plant Ecology</w:t>
      </w:r>
      <w:r w:rsidRPr="00340BB0">
        <w:rPr>
          <w:rFonts w:ascii="Calibri" w:hAnsi="Calibri" w:cs="Calibri"/>
        </w:rPr>
        <w:t xml:space="preserve">, </w:t>
      </w:r>
      <w:r w:rsidRPr="00340BB0">
        <w:rPr>
          <w:rFonts w:ascii="Calibri" w:hAnsi="Calibri" w:cs="Calibri"/>
          <w:i/>
          <w:iCs/>
        </w:rPr>
        <w:t>191</w:t>
      </w:r>
      <w:r w:rsidRPr="00340BB0">
        <w:rPr>
          <w:rFonts w:ascii="Calibri" w:hAnsi="Calibri" w:cs="Calibri"/>
        </w:rPr>
        <w:t>, 153–161.</w:t>
      </w:r>
    </w:p>
    <w:p w14:paraId="1CE4119A" w14:textId="45DA176D" w:rsidR="00340BB0" w:rsidRPr="00340BB0" w:rsidRDefault="00340BB0" w:rsidP="00340BB0">
      <w:r>
        <w:fldChar w:fldCharType="end"/>
      </w:r>
    </w:p>
    <w:sectPr w:rsidR="00340BB0" w:rsidRPr="00340BB0" w:rsidSect="000766B8">
      <w:headerReference w:type="default" r:id="rId1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ie Lane" w:date="2021-12-15T19:13:00Z" w:initials="SLL">
    <w:p w14:paraId="575EE666" w14:textId="169F1987" w:rsidR="004C3383" w:rsidRDefault="004C3383">
      <w:pPr>
        <w:pStyle w:val="CommentText"/>
      </w:pPr>
      <w:r>
        <w:rPr>
          <w:rStyle w:val="CommentReference"/>
        </w:rPr>
        <w:annotationRef/>
      </w:r>
      <w:r>
        <w:t xml:space="preserve">Or, begin with this concept and work towards </w:t>
      </w:r>
      <w:r w:rsidR="00D36EDD">
        <w:t xml:space="preserve">species </w:t>
      </w:r>
      <w:r>
        <w:t>homogenization as a driver of instability?</w:t>
      </w:r>
      <w:bookmarkStart w:id="1" w:name="_GoBack"/>
      <w:bookmarkEnd w:id="1"/>
    </w:p>
  </w:comment>
  <w:comment w:id="2" w:author="Stefanie Lane" w:date="2021-12-15T16:57:00Z" w:initials="SLL">
    <w:p w14:paraId="1E96F97B" w14:textId="4096C10C" w:rsidR="005211A7" w:rsidRDefault="005211A7">
      <w:pPr>
        <w:pStyle w:val="CommentText"/>
      </w:pPr>
      <w:r>
        <w:rPr>
          <w:rStyle w:val="CommentReference"/>
        </w:rPr>
        <w:annotationRef/>
      </w:r>
      <w:r>
        <w:t xml:space="preserve">Repurposing! </w:t>
      </w:r>
    </w:p>
  </w:comment>
  <w:comment w:id="3" w:author="Stefanie Lane" w:date="2021-12-15T18:22:00Z" w:initials="SLL">
    <w:p w14:paraId="76525A07" w14:textId="4A959CAD" w:rsidR="005211A7" w:rsidRDefault="005211A7">
      <w:pPr>
        <w:pStyle w:val="CommentText"/>
      </w:pPr>
      <w:r>
        <w:rPr>
          <w:rStyle w:val="CommentReference"/>
        </w:rPr>
        <w:annotationRef/>
      </w:r>
      <w:r>
        <w:t xml:space="preserve">Term: anthropogenic manipulation? Anthropogenic disturbance? </w:t>
      </w:r>
    </w:p>
  </w:comment>
  <w:comment w:id="4" w:author="Stefanie Lane" w:date="2021-12-15T19:03:00Z" w:initials="SLL">
    <w:p w14:paraId="2667A877" w14:textId="4B774730" w:rsidR="007C65DB" w:rsidRDefault="007C65DB">
      <w:pPr>
        <w:pStyle w:val="CommentText"/>
      </w:pPr>
      <w:r>
        <w:rPr>
          <w:rStyle w:val="CommentReference"/>
        </w:rPr>
        <w:annotationRef/>
      </w:r>
      <w:r>
        <w:t>How to include a biological mechanism for questions 2</w:t>
      </w:r>
      <w:r w:rsidR="002C55D8">
        <w:t xml:space="preserve"> &amp; 3</w:t>
      </w:r>
      <w:r>
        <w:t xml:space="preserve">? </w:t>
      </w:r>
    </w:p>
  </w:comment>
  <w:comment w:id="5" w:author="Stefanie Lane" w:date="2021-12-15T17:19:00Z" w:initials="SLL">
    <w:p w14:paraId="4552801D" w14:textId="77777777" w:rsidR="005211A7" w:rsidRDefault="005211A7" w:rsidP="000A3AB7">
      <w:pPr>
        <w:pStyle w:val="CommentText"/>
      </w:pPr>
      <w:r>
        <w:rPr>
          <w:rStyle w:val="CommentReference"/>
        </w:rPr>
        <w:annotationRef/>
      </w:r>
      <w:r>
        <w:t>How to define ‘stable’/test differences between datasets? (I thought PERMANOVA was a way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5EE666" w15:done="0"/>
  <w15:commentEx w15:paraId="1E96F97B" w15:done="0"/>
  <w15:commentEx w15:paraId="76525A07" w15:done="0"/>
  <w15:commentEx w15:paraId="2667A877" w15:done="0"/>
  <w15:commentEx w15:paraId="455280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5EE666" w16cid:durableId="2564BCE6"/>
  <w16cid:commentId w16cid:paraId="1E96F97B" w16cid:durableId="25649CDF"/>
  <w16cid:commentId w16cid:paraId="76525A07" w16cid:durableId="2564B0FD"/>
  <w16cid:commentId w16cid:paraId="2667A877" w16cid:durableId="2564BA89"/>
  <w16cid:commentId w16cid:paraId="4552801D" w16cid:durableId="2564A2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F5C78" w14:textId="77777777" w:rsidR="005211A7" w:rsidRDefault="005211A7" w:rsidP="00BF4E75">
      <w:pPr>
        <w:spacing w:after="0" w:line="240" w:lineRule="auto"/>
      </w:pPr>
      <w:r>
        <w:separator/>
      </w:r>
    </w:p>
  </w:endnote>
  <w:endnote w:type="continuationSeparator" w:id="0">
    <w:p w14:paraId="72A50FD1" w14:textId="77777777" w:rsidR="005211A7" w:rsidRDefault="005211A7" w:rsidP="00BF4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DDCFD" w14:textId="77777777" w:rsidR="005211A7" w:rsidRDefault="005211A7" w:rsidP="00BF4E75">
      <w:pPr>
        <w:spacing w:after="0" w:line="240" w:lineRule="auto"/>
      </w:pPr>
      <w:r>
        <w:separator/>
      </w:r>
    </w:p>
  </w:footnote>
  <w:footnote w:type="continuationSeparator" w:id="0">
    <w:p w14:paraId="4DCC56E7" w14:textId="77777777" w:rsidR="005211A7" w:rsidRDefault="005211A7" w:rsidP="00BF4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175818"/>
      <w:docPartObj>
        <w:docPartGallery w:val="Page Numbers (Top of Page)"/>
        <w:docPartUnique/>
      </w:docPartObj>
    </w:sdtPr>
    <w:sdtEndPr>
      <w:rPr>
        <w:noProof/>
      </w:rPr>
    </w:sdtEndPr>
    <w:sdtContent>
      <w:p w14:paraId="7C2A62D9" w14:textId="5E42B074" w:rsidR="005211A7" w:rsidRDefault="005211A7">
        <w:pPr>
          <w:pStyle w:val="Header"/>
          <w:jc w:val="right"/>
        </w:pPr>
        <w:r>
          <w:t xml:space="preserve">Lane, Outline: Plant community changes in Ladner Marsh, pg. </w:t>
        </w:r>
        <w:r>
          <w:fldChar w:fldCharType="begin"/>
        </w:r>
        <w:r>
          <w:instrText xml:space="preserve"> PAGE   \* MERGEFORMAT </w:instrText>
        </w:r>
        <w:r>
          <w:fldChar w:fldCharType="separate"/>
        </w:r>
        <w:r>
          <w:rPr>
            <w:noProof/>
          </w:rPr>
          <w:t>2</w:t>
        </w:r>
        <w:r>
          <w:rPr>
            <w:noProof/>
          </w:rPr>
          <w:fldChar w:fldCharType="end"/>
        </w:r>
      </w:p>
    </w:sdtContent>
  </w:sdt>
  <w:p w14:paraId="5C36AD25" w14:textId="77777777" w:rsidR="005211A7" w:rsidRDefault="005211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631A5"/>
    <w:multiLevelType w:val="hybridMultilevel"/>
    <w:tmpl w:val="1436D5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5102F2"/>
    <w:multiLevelType w:val="hybridMultilevel"/>
    <w:tmpl w:val="690ED420"/>
    <w:lvl w:ilvl="0" w:tplc="76D89F04">
      <w:start w:val="1"/>
      <w:numFmt w:val="bullet"/>
      <w:lvlText w:val=""/>
      <w:lvlJc w:val="left"/>
      <w:pPr>
        <w:ind w:left="720" w:hanging="360"/>
      </w:pPr>
      <w:rPr>
        <w:rFonts w:ascii="Symbol" w:eastAsiaTheme="minorHAnsi" w:hAnsi="Symbol" w:cstheme="minorBidi" w:hint="default"/>
      </w:rPr>
    </w:lvl>
    <w:lvl w:ilvl="1" w:tplc="76D89F04">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30988"/>
    <w:multiLevelType w:val="hybridMultilevel"/>
    <w:tmpl w:val="7C50A852"/>
    <w:lvl w:ilvl="0" w:tplc="76D89F0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0110B"/>
    <w:multiLevelType w:val="hybridMultilevel"/>
    <w:tmpl w:val="F6E8EB84"/>
    <w:lvl w:ilvl="0" w:tplc="76D89F0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C2C7C"/>
    <w:multiLevelType w:val="hybridMultilevel"/>
    <w:tmpl w:val="ED707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186D67"/>
    <w:multiLevelType w:val="hybridMultilevel"/>
    <w:tmpl w:val="99D4EFD6"/>
    <w:lvl w:ilvl="0" w:tplc="76D89F04">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4BE75E4"/>
    <w:multiLevelType w:val="hybridMultilevel"/>
    <w:tmpl w:val="ED707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6"/>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76"/>
    <w:rsid w:val="00007C90"/>
    <w:rsid w:val="000169C2"/>
    <w:rsid w:val="00030FB9"/>
    <w:rsid w:val="0003711B"/>
    <w:rsid w:val="00041623"/>
    <w:rsid w:val="000431F1"/>
    <w:rsid w:val="00056084"/>
    <w:rsid w:val="00063E63"/>
    <w:rsid w:val="000766B8"/>
    <w:rsid w:val="000A3AB7"/>
    <w:rsid w:val="000B2B17"/>
    <w:rsid w:val="000B556F"/>
    <w:rsid w:val="000C4B24"/>
    <w:rsid w:val="000D3031"/>
    <w:rsid w:val="00122537"/>
    <w:rsid w:val="00130DE3"/>
    <w:rsid w:val="0015552F"/>
    <w:rsid w:val="001578C8"/>
    <w:rsid w:val="00160B87"/>
    <w:rsid w:val="00177F29"/>
    <w:rsid w:val="00182C65"/>
    <w:rsid w:val="0018553F"/>
    <w:rsid w:val="001A3616"/>
    <w:rsid w:val="001C04D5"/>
    <w:rsid w:val="001C64DC"/>
    <w:rsid w:val="001E759C"/>
    <w:rsid w:val="0022363E"/>
    <w:rsid w:val="002505BD"/>
    <w:rsid w:val="0026405A"/>
    <w:rsid w:val="00281B1F"/>
    <w:rsid w:val="002C55D8"/>
    <w:rsid w:val="002D0C63"/>
    <w:rsid w:val="002D6004"/>
    <w:rsid w:val="002E39F4"/>
    <w:rsid w:val="002E58E8"/>
    <w:rsid w:val="002F27E1"/>
    <w:rsid w:val="00316E6C"/>
    <w:rsid w:val="0032580F"/>
    <w:rsid w:val="00340BB0"/>
    <w:rsid w:val="003436E0"/>
    <w:rsid w:val="00345DE4"/>
    <w:rsid w:val="00353F7C"/>
    <w:rsid w:val="00365200"/>
    <w:rsid w:val="00375FF5"/>
    <w:rsid w:val="00380BA0"/>
    <w:rsid w:val="00392DC9"/>
    <w:rsid w:val="003C77E5"/>
    <w:rsid w:val="003D0B07"/>
    <w:rsid w:val="003F3F7D"/>
    <w:rsid w:val="00405FBE"/>
    <w:rsid w:val="004C3383"/>
    <w:rsid w:val="004C3D45"/>
    <w:rsid w:val="004C7DF9"/>
    <w:rsid w:val="004D7707"/>
    <w:rsid w:val="00502AA6"/>
    <w:rsid w:val="00504E47"/>
    <w:rsid w:val="005211A7"/>
    <w:rsid w:val="0055787A"/>
    <w:rsid w:val="005622C3"/>
    <w:rsid w:val="00566C69"/>
    <w:rsid w:val="0059170F"/>
    <w:rsid w:val="005B182C"/>
    <w:rsid w:val="005B3DD8"/>
    <w:rsid w:val="005B3EAB"/>
    <w:rsid w:val="005C0700"/>
    <w:rsid w:val="005D71DC"/>
    <w:rsid w:val="005F13EF"/>
    <w:rsid w:val="005F30A9"/>
    <w:rsid w:val="005F3F8D"/>
    <w:rsid w:val="00612035"/>
    <w:rsid w:val="00614712"/>
    <w:rsid w:val="006229F7"/>
    <w:rsid w:val="00645972"/>
    <w:rsid w:val="00675DE4"/>
    <w:rsid w:val="006A7EBD"/>
    <w:rsid w:val="006B4D7D"/>
    <w:rsid w:val="006C5D18"/>
    <w:rsid w:val="006E56E2"/>
    <w:rsid w:val="00722C6E"/>
    <w:rsid w:val="0074167B"/>
    <w:rsid w:val="00744FD6"/>
    <w:rsid w:val="00755FA7"/>
    <w:rsid w:val="00764D94"/>
    <w:rsid w:val="007A161D"/>
    <w:rsid w:val="007A5AD4"/>
    <w:rsid w:val="007B643A"/>
    <w:rsid w:val="007C4787"/>
    <w:rsid w:val="007C65DB"/>
    <w:rsid w:val="007D1510"/>
    <w:rsid w:val="007D2223"/>
    <w:rsid w:val="007D3502"/>
    <w:rsid w:val="007D3FF6"/>
    <w:rsid w:val="007F552F"/>
    <w:rsid w:val="007F75D5"/>
    <w:rsid w:val="00826980"/>
    <w:rsid w:val="008358B4"/>
    <w:rsid w:val="00841571"/>
    <w:rsid w:val="0084176A"/>
    <w:rsid w:val="0086653A"/>
    <w:rsid w:val="008871D9"/>
    <w:rsid w:val="008879FB"/>
    <w:rsid w:val="00907858"/>
    <w:rsid w:val="00910BAB"/>
    <w:rsid w:val="009113BE"/>
    <w:rsid w:val="00967664"/>
    <w:rsid w:val="00992FD9"/>
    <w:rsid w:val="009B46F9"/>
    <w:rsid w:val="009C2620"/>
    <w:rsid w:val="009E33B6"/>
    <w:rsid w:val="009E6EF0"/>
    <w:rsid w:val="009F7460"/>
    <w:rsid w:val="00A00E4C"/>
    <w:rsid w:val="00A171B6"/>
    <w:rsid w:val="00A35DB7"/>
    <w:rsid w:val="00A5217F"/>
    <w:rsid w:val="00A5580A"/>
    <w:rsid w:val="00A641B0"/>
    <w:rsid w:val="00A6698C"/>
    <w:rsid w:val="00A73066"/>
    <w:rsid w:val="00A84D3A"/>
    <w:rsid w:val="00A863CC"/>
    <w:rsid w:val="00A94B74"/>
    <w:rsid w:val="00A97D83"/>
    <w:rsid w:val="00AA7D9E"/>
    <w:rsid w:val="00AD1920"/>
    <w:rsid w:val="00AE42C1"/>
    <w:rsid w:val="00AE6672"/>
    <w:rsid w:val="00B051DD"/>
    <w:rsid w:val="00B0684C"/>
    <w:rsid w:val="00B1370A"/>
    <w:rsid w:val="00B17DDE"/>
    <w:rsid w:val="00B32C11"/>
    <w:rsid w:val="00B5315A"/>
    <w:rsid w:val="00B57785"/>
    <w:rsid w:val="00B64E24"/>
    <w:rsid w:val="00B86420"/>
    <w:rsid w:val="00BA207B"/>
    <w:rsid w:val="00BA22E1"/>
    <w:rsid w:val="00BD7884"/>
    <w:rsid w:val="00BF4E75"/>
    <w:rsid w:val="00C26A4D"/>
    <w:rsid w:val="00C325A9"/>
    <w:rsid w:val="00C32D1F"/>
    <w:rsid w:val="00C55998"/>
    <w:rsid w:val="00C67DE7"/>
    <w:rsid w:val="00C925CA"/>
    <w:rsid w:val="00C94867"/>
    <w:rsid w:val="00CA299E"/>
    <w:rsid w:val="00CA3FA9"/>
    <w:rsid w:val="00CA4346"/>
    <w:rsid w:val="00CA7917"/>
    <w:rsid w:val="00CB18BB"/>
    <w:rsid w:val="00CE440B"/>
    <w:rsid w:val="00D100AD"/>
    <w:rsid w:val="00D147AF"/>
    <w:rsid w:val="00D22138"/>
    <w:rsid w:val="00D250AB"/>
    <w:rsid w:val="00D36EDD"/>
    <w:rsid w:val="00D502A8"/>
    <w:rsid w:val="00D529B9"/>
    <w:rsid w:val="00D5322B"/>
    <w:rsid w:val="00D53476"/>
    <w:rsid w:val="00D541D1"/>
    <w:rsid w:val="00D81CB7"/>
    <w:rsid w:val="00DB370D"/>
    <w:rsid w:val="00DB669B"/>
    <w:rsid w:val="00DC5555"/>
    <w:rsid w:val="00DD2FCF"/>
    <w:rsid w:val="00E00A7F"/>
    <w:rsid w:val="00E07E08"/>
    <w:rsid w:val="00E10A2E"/>
    <w:rsid w:val="00E16842"/>
    <w:rsid w:val="00E42512"/>
    <w:rsid w:val="00E42D7D"/>
    <w:rsid w:val="00E66484"/>
    <w:rsid w:val="00E67759"/>
    <w:rsid w:val="00E73137"/>
    <w:rsid w:val="00E75976"/>
    <w:rsid w:val="00E76A6B"/>
    <w:rsid w:val="00EA1201"/>
    <w:rsid w:val="00EE1637"/>
    <w:rsid w:val="00EE5B7B"/>
    <w:rsid w:val="00F113F5"/>
    <w:rsid w:val="00F15F7E"/>
    <w:rsid w:val="00F2017D"/>
    <w:rsid w:val="00F42870"/>
    <w:rsid w:val="00F5377C"/>
    <w:rsid w:val="00F614F1"/>
    <w:rsid w:val="00F73B25"/>
    <w:rsid w:val="00F80438"/>
    <w:rsid w:val="00F812CC"/>
    <w:rsid w:val="00F94015"/>
    <w:rsid w:val="00FC1CB8"/>
    <w:rsid w:val="00FC461A"/>
    <w:rsid w:val="00FE1C76"/>
    <w:rsid w:val="00FE2BE8"/>
    <w:rsid w:val="00FE73FB"/>
    <w:rsid w:val="00FF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1A2691"/>
  <w15:chartTrackingRefBased/>
  <w15:docId w15:val="{6807BFD4-A90F-488B-A017-0A547D22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D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D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5D18"/>
    <w:pPr>
      <w:ind w:left="720"/>
      <w:contextualSpacing/>
    </w:pPr>
  </w:style>
  <w:style w:type="paragraph" w:styleId="Caption">
    <w:name w:val="caption"/>
    <w:basedOn w:val="Normal"/>
    <w:next w:val="Normal"/>
    <w:uiPriority w:val="35"/>
    <w:unhideWhenUsed/>
    <w:qFormat/>
    <w:rsid w:val="00F2017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F7460"/>
    <w:rPr>
      <w:sz w:val="16"/>
      <w:szCs w:val="16"/>
    </w:rPr>
  </w:style>
  <w:style w:type="paragraph" w:styleId="CommentText">
    <w:name w:val="annotation text"/>
    <w:basedOn w:val="Normal"/>
    <w:link w:val="CommentTextChar"/>
    <w:uiPriority w:val="99"/>
    <w:semiHidden/>
    <w:unhideWhenUsed/>
    <w:rsid w:val="009F7460"/>
    <w:pPr>
      <w:spacing w:line="240" w:lineRule="auto"/>
    </w:pPr>
    <w:rPr>
      <w:sz w:val="20"/>
      <w:szCs w:val="20"/>
    </w:rPr>
  </w:style>
  <w:style w:type="character" w:customStyle="1" w:styleId="CommentTextChar">
    <w:name w:val="Comment Text Char"/>
    <w:basedOn w:val="DefaultParagraphFont"/>
    <w:link w:val="CommentText"/>
    <w:uiPriority w:val="99"/>
    <w:semiHidden/>
    <w:rsid w:val="009F7460"/>
    <w:rPr>
      <w:sz w:val="20"/>
      <w:szCs w:val="20"/>
    </w:rPr>
  </w:style>
  <w:style w:type="paragraph" w:styleId="CommentSubject">
    <w:name w:val="annotation subject"/>
    <w:basedOn w:val="CommentText"/>
    <w:next w:val="CommentText"/>
    <w:link w:val="CommentSubjectChar"/>
    <w:uiPriority w:val="99"/>
    <w:semiHidden/>
    <w:unhideWhenUsed/>
    <w:rsid w:val="009F7460"/>
    <w:rPr>
      <w:b/>
      <w:bCs/>
    </w:rPr>
  </w:style>
  <w:style w:type="character" w:customStyle="1" w:styleId="CommentSubjectChar">
    <w:name w:val="Comment Subject Char"/>
    <w:basedOn w:val="CommentTextChar"/>
    <w:link w:val="CommentSubject"/>
    <w:uiPriority w:val="99"/>
    <w:semiHidden/>
    <w:rsid w:val="009F7460"/>
    <w:rPr>
      <w:b/>
      <w:bCs/>
      <w:sz w:val="20"/>
      <w:szCs w:val="20"/>
    </w:rPr>
  </w:style>
  <w:style w:type="paragraph" w:styleId="BalloonText">
    <w:name w:val="Balloon Text"/>
    <w:basedOn w:val="Normal"/>
    <w:link w:val="BalloonTextChar"/>
    <w:uiPriority w:val="99"/>
    <w:semiHidden/>
    <w:unhideWhenUsed/>
    <w:rsid w:val="009F74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460"/>
    <w:rPr>
      <w:rFonts w:ascii="Segoe UI" w:hAnsi="Segoe UI" w:cs="Segoe UI"/>
      <w:sz w:val="18"/>
      <w:szCs w:val="18"/>
    </w:rPr>
  </w:style>
  <w:style w:type="paragraph" w:styleId="Header">
    <w:name w:val="header"/>
    <w:basedOn w:val="Normal"/>
    <w:link w:val="HeaderChar"/>
    <w:uiPriority w:val="99"/>
    <w:unhideWhenUsed/>
    <w:rsid w:val="00BF4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E75"/>
  </w:style>
  <w:style w:type="paragraph" w:styleId="Footer">
    <w:name w:val="footer"/>
    <w:basedOn w:val="Normal"/>
    <w:link w:val="FooterChar"/>
    <w:uiPriority w:val="99"/>
    <w:unhideWhenUsed/>
    <w:rsid w:val="00BF4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E75"/>
  </w:style>
  <w:style w:type="paragraph" w:styleId="Bibliography">
    <w:name w:val="Bibliography"/>
    <w:basedOn w:val="Normal"/>
    <w:next w:val="Normal"/>
    <w:uiPriority w:val="37"/>
    <w:unhideWhenUsed/>
    <w:rsid w:val="00340BB0"/>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sv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36717-FFF8-46F0-9FE7-E1D41D6FC4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05CF77-204C-4ED1-AE5A-44BAD4E57A17}">
  <ds:schemaRefs>
    <ds:schemaRef ds:uri="http://schemas.microsoft.com/sharepoint/v3/contenttype/forms"/>
  </ds:schemaRefs>
</ds:datastoreItem>
</file>

<file path=customXml/itemProps3.xml><?xml version="1.0" encoding="utf-8"?>
<ds:datastoreItem xmlns:ds="http://schemas.openxmlformats.org/officeDocument/2006/customXml" ds:itemID="{23C37F3B-36B3-4EC0-ACB5-9DB2DDDD50D7}">
  <ds:schemaRefs>
    <ds:schemaRef ds:uri="http://schemas.microsoft.com/office/2006/metadata/properties"/>
    <ds:schemaRef ds:uri="http://schemas.microsoft.com/office/2006/documentManagement/types"/>
    <ds:schemaRef ds:uri="http://purl.org/dc/terms/"/>
    <ds:schemaRef ds:uri="http://purl.org/dc/dcmitype/"/>
    <ds:schemaRef ds:uri="360018dd-41eb-4458-b1d4-4b46a95a2b02"/>
    <ds:schemaRef ds:uri="http://purl.org/dc/elements/1.1/"/>
    <ds:schemaRef ds:uri="http://www.w3.org/XML/1998/namespace"/>
    <ds:schemaRef ds:uri="http://schemas.microsoft.com/office/infopath/2007/PartnerControls"/>
    <ds:schemaRef ds:uri="http://schemas.openxmlformats.org/package/2006/metadata/core-properties"/>
    <ds:schemaRef ds:uri="8c008993-a31f-4b40-b1f3-88dd9c6e1924"/>
  </ds:schemaRefs>
</ds:datastoreItem>
</file>

<file path=customXml/itemProps4.xml><?xml version="1.0" encoding="utf-8"?>
<ds:datastoreItem xmlns:ds="http://schemas.openxmlformats.org/officeDocument/2006/customXml" ds:itemID="{42B03DDE-9F68-4857-8406-EC40CF188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56</cp:revision>
  <dcterms:created xsi:type="dcterms:W3CDTF">2021-12-15T21:16:00Z</dcterms:created>
  <dcterms:modified xsi:type="dcterms:W3CDTF">2021-12-16T03:14:00Z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y fmtid="{D5CDD505-2E9C-101B-9397-08002B2CF9AE}" pid="3" name="ZOTERO_PREF_1">
    <vt:lpwstr>&lt;data data-version="3" zotero-version="5.0.96.3"&gt;&lt;session id="vvgVFqMR"/&gt;&lt;style id="http://www.zotero.org/styles/apa-no-doi-no-issue" locale="en-US" hasBibliography="1" bibliographyStyleHasBeenSet="1"/&gt;&lt;prefs&gt;&lt;pref name="fieldType" value="Field"/&gt;&lt;/prefs&gt;</vt:lpwstr>
  </property>
  <property fmtid="{D5CDD505-2E9C-101B-9397-08002B2CF9AE}" pid="4" name="ZOTERO_PREF_2">
    <vt:lpwstr>&lt;/data&gt;</vt:lpwstr>
  </property>
</Properties>
</file>