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BC7" w14:textId="0F27D788" w:rsidR="00777F62" w:rsidRDefault="006D0114" w:rsidP="002D04EA">
      <w:pPr>
        <w:ind w:firstLine="284"/>
      </w:pPr>
      <w:r>
        <w:t xml:space="preserve">Revisions were made according to Reviewer 2 &amp; 3 comments; we thank these reviewers for their </w:t>
      </w:r>
      <w:r w:rsidR="00777F62">
        <w:t>continued</w:t>
      </w:r>
      <w:r>
        <w:t xml:space="preserve"> constructive critiques. We have explained these revisions </w:t>
      </w:r>
      <w:r w:rsidR="00777F62">
        <w:t>according to each reviewer’s points:</w:t>
      </w:r>
    </w:p>
    <w:p w14:paraId="4CB8A86A" w14:textId="77777777" w:rsidR="00777F62" w:rsidRDefault="00777F62" w:rsidP="00777F62">
      <w:pPr>
        <w:pStyle w:val="Heading1"/>
      </w:pPr>
      <w:r>
        <w:t>Reviewer #2</w:t>
      </w:r>
    </w:p>
    <w:p w14:paraId="3C1C791C" w14:textId="2439BF41" w:rsidR="00A52FD7" w:rsidRDefault="00CF1B69" w:rsidP="00777F62">
      <w:r>
        <w:t xml:space="preserve">Reviewer 2 recommended increasing font size in Fig. 1; this was amended </w:t>
      </w:r>
      <w:r w:rsidR="00A52FD7">
        <w:t xml:space="preserve">in the </w:t>
      </w:r>
      <w:proofErr w:type="spellStart"/>
      <w:r w:rsidR="00A52FD7">
        <w:t>ms.</w:t>
      </w:r>
      <w:proofErr w:type="spellEnd"/>
      <w:r w:rsidR="00A52FD7">
        <w:t xml:space="preserve"> </w:t>
      </w:r>
    </w:p>
    <w:p w14:paraId="1ABC5E57" w14:textId="77777777" w:rsidR="00A52FD7" w:rsidRDefault="00A52FD7" w:rsidP="00A52FD7">
      <w:pPr>
        <w:pStyle w:val="Heading1"/>
      </w:pPr>
      <w:r>
        <w:t>Reviewer #3</w:t>
      </w:r>
    </w:p>
    <w:p w14:paraId="1F72CFF0" w14:textId="77777777" w:rsidR="00A52FD7" w:rsidRPr="00A36CC0" w:rsidRDefault="00A52FD7" w:rsidP="00A52FD7">
      <w:pPr>
        <w:rPr>
          <w:b/>
          <w:bCs/>
        </w:rPr>
      </w:pPr>
      <w:r w:rsidRPr="00A36CC0">
        <w:rPr>
          <w:b/>
          <w:bCs/>
        </w:rPr>
        <w:t>“In table S5 I think the actual values of mean cover would be easier for the readers than mean cover class values.”</w:t>
      </w:r>
    </w:p>
    <w:p w14:paraId="1D4DD7F1" w14:textId="70842B20" w:rsidR="006D0114" w:rsidRDefault="00CF6789" w:rsidP="009609D6">
      <w:pPr>
        <w:pStyle w:val="ListParagraph"/>
      </w:pPr>
      <w:r>
        <w:t xml:space="preserve">We agree actual cover values would be ideal; however, this is not possible as the 1979 and 1999 datasets only recorded cover class values. </w:t>
      </w:r>
      <w:r w:rsidR="00FF48C8">
        <w:t>I.e.,</w:t>
      </w:r>
      <w:r w:rsidR="008C3542">
        <w:t xml:space="preserve"> raw</w:t>
      </w:r>
      <w:r w:rsidR="00FF48C8">
        <w:t xml:space="preserve"> </w:t>
      </w:r>
      <w:r w:rsidR="00F43F81">
        <w:t xml:space="preserve">percent cover data </w:t>
      </w:r>
      <w:r w:rsidR="008C3542">
        <w:t>are</w:t>
      </w:r>
      <w:r w:rsidR="00F43F81">
        <w:t xml:space="preserve"> not available. </w:t>
      </w:r>
    </w:p>
    <w:p w14:paraId="440FA1BD" w14:textId="5D137FDE" w:rsidR="00A24302" w:rsidRPr="00A36CC0" w:rsidRDefault="00374502" w:rsidP="00A24302">
      <w:pPr>
        <w:rPr>
          <w:b/>
          <w:bCs/>
        </w:rPr>
      </w:pPr>
      <w:r w:rsidRPr="00A36CC0">
        <w:rPr>
          <w:b/>
          <w:bCs/>
        </w:rPr>
        <w:t>“In table S5 the dominant fescue is given as Festuca arundinacea but everywhere else it is given by it's current name of Schedonorus arundinaceus.”</w:t>
      </w:r>
    </w:p>
    <w:p w14:paraId="64E891C5" w14:textId="1370ED34" w:rsidR="005D6DAA" w:rsidRDefault="00374502" w:rsidP="009609D6">
      <w:pPr>
        <w:pStyle w:val="ListParagraph"/>
      </w:pPr>
      <w:r>
        <w:t>Thank you</w:t>
      </w:r>
      <w:r w:rsidR="005D6DAA">
        <w:t xml:space="preserve"> for catching that inconsistency!</w:t>
      </w:r>
      <w:r>
        <w:t xml:space="preserve"> This was corrected. </w:t>
      </w:r>
    </w:p>
    <w:p w14:paraId="28FBC4FF" w14:textId="4F3D73C6" w:rsidR="005D6DAA" w:rsidRPr="00A36CC0" w:rsidRDefault="00027227" w:rsidP="005D6DAA">
      <w:pPr>
        <w:rPr>
          <w:b/>
          <w:bCs/>
        </w:rPr>
      </w:pPr>
      <w:proofErr w:type="gramStart"/>
      <w:r w:rsidRPr="00A36CC0">
        <w:rPr>
          <w:b/>
          <w:bCs/>
        </w:rPr>
        <w:t>With regard to</w:t>
      </w:r>
      <w:proofErr w:type="gramEnd"/>
      <w:r w:rsidRPr="00A36CC0">
        <w:rPr>
          <w:b/>
          <w:bCs/>
        </w:rPr>
        <w:t xml:space="preserve"> cluster analysis &amp; whether to maintain 3 main groups or evaluate subgroups (</w:t>
      </w:r>
      <w:r w:rsidR="00D90A00" w:rsidRPr="00A36CC0">
        <w:rPr>
          <w:b/>
          <w:bCs/>
        </w:rPr>
        <w:t xml:space="preserve">reviewer comment paragraphs 2-4): </w:t>
      </w:r>
    </w:p>
    <w:p w14:paraId="03E70A15" w14:textId="1F2F7023" w:rsidR="005F5CFE" w:rsidRDefault="00BA47D5" w:rsidP="009609D6">
      <w:pPr>
        <w:pStyle w:val="ListParagraph"/>
        <w:ind w:firstLine="720"/>
      </w:pPr>
      <w:r>
        <w:t>We wish to emphasize our appreciation for how investigation of species associated with the apparent subgroups may be of interest to readers; however, we strongly feel exploration of these finer subgroups introduces confounding</w:t>
      </w:r>
      <w:r w:rsidR="00C0417C">
        <w:t xml:space="preserve"> subjectivity and</w:t>
      </w:r>
      <w:r>
        <w:t xml:space="preserve"> analytical issues.</w:t>
      </w:r>
      <w:r>
        <w:t xml:space="preserve"> </w:t>
      </w:r>
      <w:r w:rsidR="005F5CFE">
        <w:t xml:space="preserve">We </w:t>
      </w:r>
      <w:r w:rsidR="004A6AC6">
        <w:t>maintain</w:t>
      </w:r>
      <w:r w:rsidR="00E42081">
        <w:t xml:space="preserve"> that because the cluster analysis is agglomerative, </w:t>
      </w:r>
      <w:r w:rsidR="00F9338A">
        <w:t>defining the cluster groups at</w:t>
      </w:r>
      <w:r w:rsidR="00E42081">
        <w:t xml:space="preserve"> the </w:t>
      </w:r>
      <w:r w:rsidR="004A6AC6">
        <w:t xml:space="preserve">three </w:t>
      </w:r>
      <w:r w:rsidR="00E42081">
        <w:t xml:space="preserve">highest convergence points </w:t>
      </w:r>
      <w:r w:rsidR="00BA4D3B">
        <w:t>is a consistent way of evaluating the indicator species driving each of the clustered groups (as we have done in this paper</w:t>
      </w:r>
      <w:r w:rsidR="0065184E">
        <w:t xml:space="preserve">, and </w:t>
      </w:r>
      <w:r w:rsidR="00891328">
        <w:t>indicated</w:t>
      </w:r>
      <w:r w:rsidR="004A2C9F">
        <w:t xml:space="preserve"> this in the Methods on line </w:t>
      </w:r>
      <w:r w:rsidR="00F75F1D">
        <w:t>218</w:t>
      </w:r>
      <w:r w:rsidR="0065184E">
        <w:t>)</w:t>
      </w:r>
      <w:r w:rsidR="004A2C9F">
        <w:t xml:space="preserve">. </w:t>
      </w:r>
      <w:r w:rsidR="000E099A">
        <w:t>We feel</w:t>
      </w:r>
      <w:r w:rsidR="00BA4D3B">
        <w:t xml:space="preserve"> pursuing </w:t>
      </w:r>
      <w:r w:rsidR="00814FFE">
        <w:t>different numbers of subgroups in each year as suggested</w:t>
      </w:r>
      <w:r w:rsidR="00217717">
        <w:t xml:space="preserve"> (e.g., the suggestion to identify 3 groups in 1979, 4 groups in 1999, and 3 groups in 2019)</w:t>
      </w:r>
      <w:r w:rsidR="00814FFE">
        <w:t xml:space="preserve">, introduces </w:t>
      </w:r>
      <w:r w:rsidR="003148BE">
        <w:t>a</w:t>
      </w:r>
      <w:r w:rsidR="004A2C9F">
        <w:t xml:space="preserve"> highly subjective </w:t>
      </w:r>
      <w:r w:rsidR="003148BE">
        <w:t>method</w:t>
      </w:r>
      <w:r w:rsidR="004A2C9F">
        <w:t xml:space="preserve"> of</w:t>
      </w:r>
      <w:r w:rsidR="000E099A">
        <w:t xml:space="preserve"> evaluating the clusters, and </w:t>
      </w:r>
      <w:r w:rsidR="00F7052D">
        <w:t>would necessitate</w:t>
      </w:r>
      <w:r w:rsidR="000E099A">
        <w:t xml:space="preserve"> </w:t>
      </w:r>
      <w:r w:rsidR="00B42E12">
        <w:t>extra</w:t>
      </w:r>
      <w:r w:rsidR="000E099A">
        <w:t xml:space="preserve"> narrative</w:t>
      </w:r>
      <w:r w:rsidR="00DA08B4">
        <w:t xml:space="preserve"> t</w:t>
      </w:r>
      <w:r w:rsidR="00B42E12">
        <w:t>hroughout</w:t>
      </w:r>
      <w:r w:rsidR="0037674A">
        <w:t xml:space="preserve"> all sections of</w:t>
      </w:r>
      <w:r w:rsidR="00B42E12">
        <w:t xml:space="preserve"> the paper t</w:t>
      </w:r>
      <w:r w:rsidR="00DA08B4">
        <w:t xml:space="preserve">o </w:t>
      </w:r>
      <w:r w:rsidR="0037674A">
        <w:t xml:space="preserve">sufficiently </w:t>
      </w:r>
      <w:r w:rsidR="00DA08B4">
        <w:t>justify the subgroups</w:t>
      </w:r>
      <w:r w:rsidR="000E099A">
        <w:t xml:space="preserve"> that is beyond the intended scope to evaluate </w:t>
      </w:r>
      <w:r w:rsidR="00B724F1">
        <w:t xml:space="preserve">broad </w:t>
      </w:r>
      <w:r w:rsidR="000E099A">
        <w:t xml:space="preserve">changes in community dynamics over time. </w:t>
      </w:r>
      <w:r w:rsidR="00562627">
        <w:t xml:space="preserve">Moreover, this changes the scale of focus of our assessment: as the paper is presented, we are considering </w:t>
      </w:r>
      <w:r w:rsidR="000871F1">
        <w:t>coarse</w:t>
      </w:r>
      <w:r w:rsidR="005F7AA1">
        <w:t xml:space="preserve"> community-level scales; assessment of subgroups results in a fine-grain focus that our data </w:t>
      </w:r>
      <w:r w:rsidR="00C0417C">
        <w:t>do</w:t>
      </w:r>
      <w:r w:rsidR="00A9798F">
        <w:t xml:space="preserve"> not support. </w:t>
      </w:r>
    </w:p>
    <w:p w14:paraId="2BB4B0E9" w14:textId="58F62882" w:rsidR="00D90A00" w:rsidRDefault="00A9798F" w:rsidP="009609D6">
      <w:pPr>
        <w:pStyle w:val="ListParagraph"/>
        <w:ind w:firstLine="720"/>
      </w:pPr>
      <w:r>
        <w:t xml:space="preserve">If we were to define subgroups, we might propose </w:t>
      </w:r>
      <w:r w:rsidR="00540896">
        <w:t xml:space="preserve">defining these as </w:t>
      </w:r>
      <w:r w:rsidR="001A3D55">
        <w:t xml:space="preserve">the </w:t>
      </w:r>
      <w:r w:rsidR="00724537">
        <w:t>six highest convergence points</w:t>
      </w:r>
      <w:r w:rsidR="00062C75">
        <w:t xml:space="preserve"> in each sampling year</w:t>
      </w:r>
      <w:r w:rsidR="00540896">
        <w:t>. This would be consistent with our Methods to define the three</w:t>
      </w:r>
      <w:r w:rsidR="00D55540">
        <w:t xml:space="preserve"> </w:t>
      </w:r>
      <w:r w:rsidR="003E6F35">
        <w:t>main</w:t>
      </w:r>
      <w:r w:rsidR="00D55540">
        <w:t xml:space="preserve"> cluster groups at the three highest convergence points.</w:t>
      </w:r>
      <w:r w:rsidR="004621C1">
        <w:t xml:space="preserve"> We </w:t>
      </w:r>
      <w:r w:rsidR="00C14AE9">
        <w:t>conducted</w:t>
      </w:r>
      <w:r w:rsidR="00877396">
        <w:t xml:space="preserve"> an additional indicator species analysis </w:t>
      </w:r>
      <w:r w:rsidR="00F7052D">
        <w:t>for</w:t>
      </w:r>
      <w:r w:rsidR="00724537">
        <w:t xml:space="preserve"> these</w:t>
      </w:r>
      <w:r w:rsidR="00F7052D">
        <w:t xml:space="preserve"> six subgroups in each year</w:t>
      </w:r>
      <w:r w:rsidR="004621C1">
        <w:t>, but w</w:t>
      </w:r>
      <w:r w:rsidR="00772582">
        <w:t>e note this approach is problematic</w:t>
      </w:r>
      <w:r w:rsidR="00350C43">
        <w:t xml:space="preserve"> because there are not significant indicator species for </w:t>
      </w:r>
      <w:r w:rsidR="00C56456">
        <w:t>all</w:t>
      </w:r>
      <w:r w:rsidR="00350C43">
        <w:t xml:space="preserve"> subgroup</w:t>
      </w:r>
      <w:r w:rsidR="00C56456">
        <w:t>s identified</w:t>
      </w:r>
      <w:r w:rsidR="00350C43">
        <w:t>.</w:t>
      </w:r>
      <w:r w:rsidR="00827BE0">
        <w:t xml:space="preserve"> </w:t>
      </w:r>
      <w:r w:rsidR="00401685">
        <w:t>We note t</w:t>
      </w:r>
      <w:r w:rsidR="00827BE0">
        <w:t xml:space="preserve">his issue </w:t>
      </w:r>
      <w:r w:rsidR="00401685">
        <w:t xml:space="preserve">will be encountered </w:t>
      </w:r>
      <w:r w:rsidR="00335485">
        <w:t>regardless of</w:t>
      </w:r>
      <w:r w:rsidR="00401685">
        <w:t xml:space="preserve"> how the subgroups are defined.</w:t>
      </w:r>
      <w:r w:rsidR="00D55540">
        <w:t xml:space="preserve"> </w:t>
      </w:r>
      <w:r w:rsidR="00402BA0">
        <w:t>Additionally</w:t>
      </w:r>
      <w:r w:rsidR="00D55540">
        <w:t xml:space="preserve">, the indicator species common to all three datasets when only three clusters are used (sedge, fescue, bogbean) </w:t>
      </w:r>
      <w:r w:rsidR="00C34891">
        <w:t xml:space="preserve">are not </w:t>
      </w:r>
      <w:r w:rsidR="00ED286B">
        <w:t xml:space="preserve">always </w:t>
      </w:r>
      <w:r w:rsidR="00C34891">
        <w:t>included in the subgroups.</w:t>
      </w:r>
      <w:r w:rsidR="00D55540">
        <w:t xml:space="preserve"> </w:t>
      </w:r>
      <w:r w:rsidR="00A53521">
        <w:t>We feel these issues result in loss of a focused narrative on</w:t>
      </w:r>
      <w:r w:rsidR="00BA47D5">
        <w:t xml:space="preserve"> changes within</w:t>
      </w:r>
      <w:r w:rsidR="00A53521">
        <w:t xml:space="preserve"> the major assemblages</w:t>
      </w:r>
      <w:r w:rsidR="00BA47D5">
        <w:t xml:space="preserve">, and </w:t>
      </w:r>
      <w:r w:rsidR="00C0417C">
        <w:t>the approach does</w:t>
      </w:r>
      <w:r w:rsidR="00BA47D5">
        <w:t xml:space="preserve"> not yield clear insight to </w:t>
      </w:r>
      <w:r w:rsidR="00B34486">
        <w:t xml:space="preserve">clear community trends or </w:t>
      </w:r>
      <w:r w:rsidR="00BA47D5">
        <w:t xml:space="preserve">drivers of change. </w:t>
      </w:r>
      <w:r w:rsidR="003A2592">
        <w:t xml:space="preserve">Please refer to Table A and Figure A </w:t>
      </w:r>
      <w:r w:rsidR="00A41B10">
        <w:t>at the end of</w:t>
      </w:r>
      <w:r w:rsidR="003F108E">
        <w:t xml:space="preserve"> this response</w:t>
      </w:r>
      <w:r w:rsidR="003A2592">
        <w:t>: we include these</w:t>
      </w:r>
      <w:r w:rsidR="004621C1">
        <w:t xml:space="preserve"> to illustrate how </w:t>
      </w:r>
      <w:r w:rsidR="00A41B10">
        <w:t>trying to tease</w:t>
      </w:r>
      <w:r w:rsidR="004621C1">
        <w:t xml:space="preserve"> </w:t>
      </w:r>
      <w:r w:rsidR="004621C1">
        <w:lastRenderedPageBreak/>
        <w:t xml:space="preserve">apart subgroups introduces </w:t>
      </w:r>
      <w:r w:rsidR="00852F49">
        <w:t>confusion rather than clarification, and</w:t>
      </w:r>
      <w:r w:rsidR="003F108E">
        <w:t xml:space="preserve"> we do not recommend including </w:t>
      </w:r>
      <w:r w:rsidR="00A43E63">
        <w:t>these results</w:t>
      </w:r>
      <w:r w:rsidR="003F108E">
        <w:t xml:space="preserve"> in the publication. </w:t>
      </w:r>
    </w:p>
    <w:p w14:paraId="74002A81" w14:textId="77777777" w:rsidR="0013738C" w:rsidRPr="00A36CC0" w:rsidRDefault="00D90A00" w:rsidP="005D6DAA">
      <w:pPr>
        <w:rPr>
          <w:b/>
          <w:bCs/>
        </w:rPr>
      </w:pPr>
      <w:proofErr w:type="gramStart"/>
      <w:r w:rsidRPr="00A36CC0">
        <w:rPr>
          <w:b/>
          <w:bCs/>
        </w:rPr>
        <w:t>With regard to</w:t>
      </w:r>
      <w:proofErr w:type="gramEnd"/>
      <w:r w:rsidRPr="00A36CC0">
        <w:rPr>
          <w:b/>
          <w:bCs/>
        </w:rPr>
        <w:t xml:space="preserve"> discussing spatial changes and Fig. S2</w:t>
      </w:r>
      <w:r w:rsidR="00DA2D49" w:rsidRPr="00A36CC0">
        <w:rPr>
          <w:b/>
          <w:bCs/>
        </w:rPr>
        <w:t xml:space="preserve"> (reviewer comment paragraph 5): </w:t>
      </w:r>
    </w:p>
    <w:p w14:paraId="19B0471A" w14:textId="3031EA2F" w:rsidR="00D90A00" w:rsidRDefault="002C5840" w:rsidP="009609D6">
      <w:pPr>
        <w:pStyle w:val="ListParagraph"/>
        <w:ind w:firstLine="720"/>
      </w:pPr>
      <w:r>
        <w:t>We feel further evaluation of spatial changes may be tenuous at best, as we’ve explained</w:t>
      </w:r>
      <w:r w:rsidR="00AA78C2">
        <w:t xml:space="preserve"> </w:t>
      </w:r>
      <w:r>
        <w:t>there are likely inconsistencies in</w:t>
      </w:r>
      <w:r w:rsidR="00F61B01">
        <w:t xml:space="preserve"> relocation of some</w:t>
      </w:r>
      <w:r>
        <w:t xml:space="preserve"> transect</w:t>
      </w:r>
      <w:r w:rsidR="00F61B01">
        <w:t xml:space="preserve">s </w:t>
      </w:r>
      <w:r>
        <w:t>in the 1999 and 2019 sampling years</w:t>
      </w:r>
      <w:r w:rsidR="0013738C">
        <w:t xml:space="preserve"> (lines 294-299)</w:t>
      </w:r>
      <w:r>
        <w:t xml:space="preserve">. </w:t>
      </w:r>
      <w:r w:rsidR="00F61B01">
        <w:t xml:space="preserve">Elaboration on </w:t>
      </w:r>
      <w:r w:rsidR="00097B14">
        <w:t>spatial changes over time</w:t>
      </w:r>
      <w:r w:rsidR="00ED1D5E">
        <w:t xml:space="preserve"> in the discussion</w:t>
      </w:r>
      <w:r w:rsidR="00097B14">
        <w:t xml:space="preserve"> may </w:t>
      </w:r>
      <w:r w:rsidR="00581B5C">
        <w:t>mislead readers to assuming stronger inference about the community dynamics</w:t>
      </w:r>
      <w:r w:rsidR="00D351EA">
        <w:t>.</w:t>
      </w:r>
      <w:r w:rsidR="00581B5C">
        <w:t xml:space="preserve"> </w:t>
      </w:r>
    </w:p>
    <w:p w14:paraId="73300F33" w14:textId="749D61C2" w:rsidR="00627162" w:rsidRDefault="003C0CBB">
      <w:r>
        <w:rPr>
          <w:noProof/>
        </w:rPr>
        <w:drawing>
          <wp:inline distT="0" distB="0" distL="0" distR="0" wp14:anchorId="04D3C807" wp14:editId="27AA1C90">
            <wp:extent cx="6210300" cy="3883760"/>
            <wp:effectExtent l="0" t="0" r="0" b="2540"/>
            <wp:docPr id="58054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8880" cy="3895379"/>
                    </a:xfrm>
                    <a:prstGeom prst="rect">
                      <a:avLst/>
                    </a:prstGeom>
                    <a:noFill/>
                  </pic:spPr>
                </pic:pic>
              </a:graphicData>
            </a:graphic>
          </wp:inline>
        </w:drawing>
      </w:r>
    </w:p>
    <w:p w14:paraId="340A1504" w14:textId="08AC5313" w:rsidR="003C0CBB" w:rsidRDefault="003C0CBB">
      <w:r>
        <w:t xml:space="preserve">Figure A. </w:t>
      </w:r>
      <w:r w:rsidR="00A0173F">
        <w:t>Cluster analysis with six subgroups</w:t>
      </w:r>
      <w:r w:rsidR="007C1E51">
        <w:t xml:space="preserve"> objectively</w:t>
      </w:r>
      <w:r w:rsidR="00A0173F">
        <w:t xml:space="preserve"> identified in each sampling year. Subgroups are identified </w:t>
      </w:r>
      <w:r w:rsidR="00DD71F0">
        <w:t>by</w:t>
      </w:r>
      <w:r w:rsidR="00A0173F">
        <w:t xml:space="preserve"> the six</w:t>
      </w:r>
      <w:r w:rsidR="00DD71F0">
        <w:t xml:space="preserve"> branches at the</w:t>
      </w:r>
      <w:r w:rsidR="00A0173F">
        <w:t xml:space="preserve"> highest</w:t>
      </w:r>
      <w:r w:rsidR="00DD71F0">
        <w:t xml:space="preserve"> levels of</w:t>
      </w:r>
      <w:r w:rsidR="00A0173F">
        <w:t xml:space="preserve"> convergence</w:t>
      </w:r>
      <w:r w:rsidR="00DD71F0">
        <w:t xml:space="preserve">. In 1979, this produces </w:t>
      </w:r>
      <w:r w:rsidR="00D74044">
        <w:t>three</w:t>
      </w:r>
      <w:r w:rsidR="00B3421A">
        <w:t>, one, and two</w:t>
      </w:r>
      <w:r w:rsidR="00D74044">
        <w:t xml:space="preserve"> subgroups in the ‘Sedge</w:t>
      </w:r>
      <w:r w:rsidR="00B3421A">
        <w:t xml:space="preserve">,’ </w:t>
      </w:r>
      <w:r w:rsidR="00D74044">
        <w:t>‘Bogbean</w:t>
      </w:r>
      <w:r w:rsidR="00B3421A">
        <w:t xml:space="preserve">,’ and </w:t>
      </w:r>
      <w:r w:rsidR="00D74044">
        <w:t>‘Fescue’ cluster</w:t>
      </w:r>
      <w:r w:rsidR="00B3421A">
        <w:t>s, respectively</w:t>
      </w:r>
      <w:r w:rsidR="00D74044">
        <w:t xml:space="preserve">. </w:t>
      </w:r>
      <w:r w:rsidR="00B3421A">
        <w:t xml:space="preserve">In 1999, this produces two, one, and three subgroups in the ‘Sedge,’ ‘Bogbean,’ and ‘Fescue’ clusters, respectively. In 2019, this produces two, one, and three subgroups in the ‘Bogbean,’ ‘Fescue,’ and ‘Sedge’ groups, respectively. Indicator </w:t>
      </w:r>
      <w:r w:rsidR="00055367">
        <w:t xml:space="preserve">species characterizing these subgroups are presented in Table A. </w:t>
      </w:r>
    </w:p>
    <w:p w14:paraId="732D8075" w14:textId="77777777" w:rsidR="00055367" w:rsidRDefault="00055367"/>
    <w:p w14:paraId="02DCC29D" w14:textId="77777777" w:rsidR="00055367" w:rsidRDefault="00055367"/>
    <w:p w14:paraId="6B92DA82" w14:textId="77777777" w:rsidR="00055367" w:rsidRDefault="00055367">
      <w:pPr>
        <w:sectPr w:rsidR="00055367">
          <w:headerReference w:type="default" r:id="rId9"/>
          <w:pgSz w:w="12240" w:h="15840"/>
          <w:pgMar w:top="1440" w:right="1440" w:bottom="1440" w:left="1440" w:header="708" w:footer="708" w:gutter="0"/>
          <w:cols w:space="708"/>
          <w:docGrid w:linePitch="360"/>
        </w:sectPr>
      </w:pPr>
    </w:p>
    <w:p w14:paraId="56D33F2A" w14:textId="00563C60" w:rsidR="006343BB" w:rsidRDefault="006343BB">
      <w:r>
        <w:lastRenderedPageBreak/>
        <w:t xml:space="preserve">Table A. </w:t>
      </w:r>
      <w:r w:rsidR="00756235">
        <w:t>Indicator species analysis for six subgroups identified in each sampling year</w:t>
      </w:r>
      <w:r w:rsidR="000E3906">
        <w:t xml:space="preserve"> as shown in Figure A</w:t>
      </w:r>
      <w:r w:rsidR="00756235">
        <w:t xml:space="preserve">. </w:t>
      </w:r>
      <w:r w:rsidR="00FC41A7">
        <w:t>Note that not all subgroups identified have</w:t>
      </w:r>
      <w:r w:rsidR="000E3906">
        <w:t xml:space="preserve"> species with</w:t>
      </w:r>
      <w:r w:rsidR="00FC41A7">
        <w:t xml:space="preserve"> </w:t>
      </w:r>
      <w:r w:rsidR="000E3906">
        <w:t xml:space="preserve">significant indicator values. </w:t>
      </w:r>
    </w:p>
    <w:p w14:paraId="5AE0A9BB" w14:textId="3E6EC422" w:rsidR="006343BB" w:rsidRDefault="00CA0035">
      <w:r w:rsidRPr="00CA0035">
        <w:rPr>
          <w:noProof/>
        </w:rPr>
        <w:drawing>
          <wp:inline distT="0" distB="0" distL="0" distR="0" wp14:anchorId="4FF4540E" wp14:editId="18A260E3">
            <wp:extent cx="10407388" cy="6305550"/>
            <wp:effectExtent l="0" t="0" r="0" b="0"/>
            <wp:docPr id="232653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17187" cy="6311487"/>
                    </a:xfrm>
                    <a:prstGeom prst="rect">
                      <a:avLst/>
                    </a:prstGeom>
                    <a:noFill/>
                    <a:ln>
                      <a:noFill/>
                    </a:ln>
                  </pic:spPr>
                </pic:pic>
              </a:graphicData>
            </a:graphic>
          </wp:inline>
        </w:drawing>
      </w:r>
    </w:p>
    <w:sectPr w:rsidR="006343BB" w:rsidSect="00E421C1">
      <w:pgSz w:w="20160" w:h="12240" w:orient="landscape" w:code="5"/>
      <w:pgMar w:top="357" w:right="289" w:bottom="369"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11C3" w14:textId="77777777" w:rsidR="00707074" w:rsidRDefault="00707074" w:rsidP="002A2C03">
      <w:pPr>
        <w:spacing w:after="0" w:line="240" w:lineRule="auto"/>
      </w:pPr>
      <w:r>
        <w:separator/>
      </w:r>
    </w:p>
  </w:endnote>
  <w:endnote w:type="continuationSeparator" w:id="0">
    <w:p w14:paraId="36EA7A2D" w14:textId="77777777" w:rsidR="00707074" w:rsidRDefault="00707074" w:rsidP="002A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ADC8" w14:textId="77777777" w:rsidR="00707074" w:rsidRDefault="00707074" w:rsidP="002A2C03">
      <w:pPr>
        <w:spacing w:after="0" w:line="240" w:lineRule="auto"/>
      </w:pPr>
      <w:r>
        <w:separator/>
      </w:r>
    </w:p>
  </w:footnote>
  <w:footnote w:type="continuationSeparator" w:id="0">
    <w:p w14:paraId="45644CD6" w14:textId="77777777" w:rsidR="00707074" w:rsidRDefault="00707074" w:rsidP="002A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5915E" w14:textId="197E91BF" w:rsidR="002A2C03" w:rsidRDefault="002A2C03">
    <w:pPr>
      <w:pStyle w:val="Header"/>
    </w:pPr>
    <w:r>
      <w:t xml:space="preserve">Reviewer response Dec. 2023: </w:t>
    </w:r>
    <w:r w:rsidR="000B702B" w:rsidRPr="00665C3A">
      <w:t>Plant community stability over 40 years in a Fraser River Estuary tidal freshwater marsh</w:t>
    </w:r>
    <w:r w:rsidR="000B702B">
      <w:t>.</w:t>
    </w:r>
  </w:p>
  <w:p w14:paraId="71EB0F8F" w14:textId="77777777" w:rsidR="002A2C03" w:rsidRDefault="002A2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83C67"/>
    <w:multiLevelType w:val="hybridMultilevel"/>
    <w:tmpl w:val="85E65E02"/>
    <w:lvl w:ilvl="0" w:tplc="527E018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D808F8"/>
    <w:multiLevelType w:val="hybridMultilevel"/>
    <w:tmpl w:val="4DFE8870"/>
    <w:lvl w:ilvl="0" w:tplc="CF8CECA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5748298">
    <w:abstractNumId w:val="1"/>
  </w:num>
  <w:num w:numId="2" w16cid:durableId="57246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62"/>
    <w:rsid w:val="00003864"/>
    <w:rsid w:val="00027227"/>
    <w:rsid w:val="00043753"/>
    <w:rsid w:val="00055367"/>
    <w:rsid w:val="00062C75"/>
    <w:rsid w:val="000871F1"/>
    <w:rsid w:val="00097B14"/>
    <w:rsid w:val="000B702B"/>
    <w:rsid w:val="000E099A"/>
    <w:rsid w:val="000E3906"/>
    <w:rsid w:val="001032D1"/>
    <w:rsid w:val="0013738C"/>
    <w:rsid w:val="00140926"/>
    <w:rsid w:val="00162DA0"/>
    <w:rsid w:val="001A3D55"/>
    <w:rsid w:val="00217717"/>
    <w:rsid w:val="00217F36"/>
    <w:rsid w:val="002238A1"/>
    <w:rsid w:val="00245D2F"/>
    <w:rsid w:val="00280E46"/>
    <w:rsid w:val="002A2C03"/>
    <w:rsid w:val="002C3591"/>
    <w:rsid w:val="002C3604"/>
    <w:rsid w:val="002C5840"/>
    <w:rsid w:val="002C68D7"/>
    <w:rsid w:val="002D04EA"/>
    <w:rsid w:val="003074D2"/>
    <w:rsid w:val="003148BE"/>
    <w:rsid w:val="00335485"/>
    <w:rsid w:val="00350C43"/>
    <w:rsid w:val="00374502"/>
    <w:rsid w:val="0037674A"/>
    <w:rsid w:val="00391066"/>
    <w:rsid w:val="003A2592"/>
    <w:rsid w:val="003C0CBB"/>
    <w:rsid w:val="003E6F35"/>
    <w:rsid w:val="003F108E"/>
    <w:rsid w:val="00401685"/>
    <w:rsid w:val="00402B77"/>
    <w:rsid w:val="00402BA0"/>
    <w:rsid w:val="004621C1"/>
    <w:rsid w:val="004A2C9F"/>
    <w:rsid w:val="004A6AC6"/>
    <w:rsid w:val="00540896"/>
    <w:rsid w:val="005461EB"/>
    <w:rsid w:val="00562627"/>
    <w:rsid w:val="00581B5C"/>
    <w:rsid w:val="005D6DAA"/>
    <w:rsid w:val="005F5CFE"/>
    <w:rsid w:val="005F7AA1"/>
    <w:rsid w:val="00627162"/>
    <w:rsid w:val="006343BB"/>
    <w:rsid w:val="0065184E"/>
    <w:rsid w:val="00674149"/>
    <w:rsid w:val="006A6C34"/>
    <w:rsid w:val="006B1850"/>
    <w:rsid w:val="006D0114"/>
    <w:rsid w:val="00701A74"/>
    <w:rsid w:val="00707074"/>
    <w:rsid w:val="00724537"/>
    <w:rsid w:val="00756235"/>
    <w:rsid w:val="00772582"/>
    <w:rsid w:val="00777F62"/>
    <w:rsid w:val="007C1E51"/>
    <w:rsid w:val="007C4DEF"/>
    <w:rsid w:val="007D46D1"/>
    <w:rsid w:val="00811651"/>
    <w:rsid w:val="00814FFE"/>
    <w:rsid w:val="00827BE0"/>
    <w:rsid w:val="00852F49"/>
    <w:rsid w:val="00877396"/>
    <w:rsid w:val="00891328"/>
    <w:rsid w:val="008C3542"/>
    <w:rsid w:val="008F124F"/>
    <w:rsid w:val="00905C27"/>
    <w:rsid w:val="009609D6"/>
    <w:rsid w:val="009D3843"/>
    <w:rsid w:val="009F71CB"/>
    <w:rsid w:val="00A0173F"/>
    <w:rsid w:val="00A24302"/>
    <w:rsid w:val="00A36CC0"/>
    <w:rsid w:val="00A41B10"/>
    <w:rsid w:val="00A43E63"/>
    <w:rsid w:val="00A52FD7"/>
    <w:rsid w:val="00A53521"/>
    <w:rsid w:val="00A86D0D"/>
    <w:rsid w:val="00A9798F"/>
    <w:rsid w:val="00AA78C2"/>
    <w:rsid w:val="00B3421A"/>
    <w:rsid w:val="00B34486"/>
    <w:rsid w:val="00B42E12"/>
    <w:rsid w:val="00B724F1"/>
    <w:rsid w:val="00BA47D5"/>
    <w:rsid w:val="00BA4D3B"/>
    <w:rsid w:val="00BD35A8"/>
    <w:rsid w:val="00C0417C"/>
    <w:rsid w:val="00C14AE9"/>
    <w:rsid w:val="00C34891"/>
    <w:rsid w:val="00C51D36"/>
    <w:rsid w:val="00C56456"/>
    <w:rsid w:val="00CA0035"/>
    <w:rsid w:val="00CF1B69"/>
    <w:rsid w:val="00CF6789"/>
    <w:rsid w:val="00D351EA"/>
    <w:rsid w:val="00D55540"/>
    <w:rsid w:val="00D74044"/>
    <w:rsid w:val="00D90A00"/>
    <w:rsid w:val="00DA08B4"/>
    <w:rsid w:val="00DA1B8D"/>
    <w:rsid w:val="00DA2D49"/>
    <w:rsid w:val="00DA67CC"/>
    <w:rsid w:val="00DD71F0"/>
    <w:rsid w:val="00E003F7"/>
    <w:rsid w:val="00E42081"/>
    <w:rsid w:val="00E421C1"/>
    <w:rsid w:val="00E72A9F"/>
    <w:rsid w:val="00ED1D5E"/>
    <w:rsid w:val="00ED286B"/>
    <w:rsid w:val="00F43F81"/>
    <w:rsid w:val="00F61B01"/>
    <w:rsid w:val="00F7052D"/>
    <w:rsid w:val="00F75F1D"/>
    <w:rsid w:val="00F9338A"/>
    <w:rsid w:val="00FC41A7"/>
    <w:rsid w:val="00FD26CF"/>
    <w:rsid w:val="00FF4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BE37"/>
  <w15:chartTrackingRefBased/>
  <w15:docId w15:val="{D0ABB597-7006-4CB2-B2E7-7904A727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14"/>
  </w:style>
  <w:style w:type="paragraph" w:styleId="Heading1">
    <w:name w:val="heading 1"/>
    <w:basedOn w:val="Normal"/>
    <w:next w:val="Normal"/>
    <w:link w:val="Heading1Char"/>
    <w:uiPriority w:val="9"/>
    <w:qFormat/>
    <w:rsid w:val="00777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C03"/>
  </w:style>
  <w:style w:type="paragraph" w:styleId="Footer">
    <w:name w:val="footer"/>
    <w:basedOn w:val="Normal"/>
    <w:link w:val="FooterChar"/>
    <w:uiPriority w:val="99"/>
    <w:unhideWhenUsed/>
    <w:rsid w:val="002A2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C03"/>
  </w:style>
  <w:style w:type="character" w:customStyle="1" w:styleId="Heading1Char">
    <w:name w:val="Heading 1 Char"/>
    <w:basedOn w:val="DefaultParagraphFont"/>
    <w:link w:val="Heading1"/>
    <w:uiPriority w:val="9"/>
    <w:rsid w:val="00777F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2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7682">
      <w:bodyDiv w:val="1"/>
      <w:marLeft w:val="0"/>
      <w:marRight w:val="0"/>
      <w:marTop w:val="0"/>
      <w:marBottom w:val="0"/>
      <w:divBdr>
        <w:top w:val="none" w:sz="0" w:space="0" w:color="auto"/>
        <w:left w:val="none" w:sz="0" w:space="0" w:color="auto"/>
        <w:bottom w:val="none" w:sz="0" w:space="0" w:color="auto"/>
        <w:right w:val="none" w:sz="0" w:space="0" w:color="auto"/>
      </w:divBdr>
    </w:div>
    <w:div w:id="913973928">
      <w:bodyDiv w:val="1"/>
      <w:marLeft w:val="0"/>
      <w:marRight w:val="0"/>
      <w:marTop w:val="0"/>
      <w:marBottom w:val="0"/>
      <w:divBdr>
        <w:top w:val="none" w:sz="0" w:space="0" w:color="auto"/>
        <w:left w:val="none" w:sz="0" w:space="0" w:color="auto"/>
        <w:bottom w:val="none" w:sz="0" w:space="0" w:color="auto"/>
        <w:right w:val="none" w:sz="0" w:space="0" w:color="auto"/>
      </w:divBdr>
    </w:div>
    <w:div w:id="199251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A733-81EB-4FFB-AAE8-89BC4072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122</cp:revision>
  <dcterms:created xsi:type="dcterms:W3CDTF">2023-12-12T19:16:00Z</dcterms:created>
  <dcterms:modified xsi:type="dcterms:W3CDTF">2023-12-19T20:33:00Z</dcterms:modified>
</cp:coreProperties>
</file>