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3BE2" w14:textId="77777777" w:rsidR="00F13138" w:rsidRPr="001971CB" w:rsidRDefault="00F13138" w:rsidP="007E7955">
      <w:pPr>
        <w:pStyle w:val="Heading1"/>
        <w:numPr>
          <w:ilvl w:val="0"/>
          <w:numId w:val="0"/>
        </w:numPr>
        <w:suppressLineNumbers/>
        <w:spacing w:line="480" w:lineRule="auto"/>
        <w:ind w:left="432" w:hanging="432"/>
      </w:pPr>
      <w:bookmarkStart w:id="0" w:name="_Toc143184230"/>
      <w:r>
        <w:t>Title Page</w:t>
      </w:r>
    </w:p>
    <w:p w14:paraId="61560C99" w14:textId="680A989E" w:rsidR="00D1040E" w:rsidRPr="004D1A85" w:rsidRDefault="00CF12FB" w:rsidP="007E7955">
      <w:pPr>
        <w:pStyle w:val="NoSpacing"/>
        <w:spacing w:line="480" w:lineRule="auto"/>
        <w:rPr>
          <w:b/>
          <w:sz w:val="28"/>
        </w:rPr>
      </w:pPr>
      <w:r>
        <w:rPr>
          <w:b/>
          <w:sz w:val="28"/>
        </w:rPr>
        <w:t xml:space="preserve">Passive </w:t>
      </w:r>
      <w:r w:rsidR="00604913">
        <w:rPr>
          <w:b/>
          <w:sz w:val="28"/>
        </w:rPr>
        <w:t>recovery</w:t>
      </w:r>
      <w:r>
        <w:rPr>
          <w:b/>
          <w:sz w:val="28"/>
        </w:rPr>
        <w:t xml:space="preserve"> risks non-native</w:t>
      </w:r>
      <w:r w:rsidR="00AF0B27">
        <w:rPr>
          <w:b/>
          <w:sz w:val="28"/>
        </w:rPr>
        <w:t xml:space="preserve"> </w:t>
      </w:r>
      <w:r w:rsidR="005B7D3A">
        <w:rPr>
          <w:b/>
          <w:sz w:val="28"/>
        </w:rPr>
        <w:t>vegetation invasion</w:t>
      </w:r>
      <w:r w:rsidR="00AF0B27">
        <w:rPr>
          <w:b/>
          <w:sz w:val="28"/>
        </w:rPr>
        <w:t xml:space="preserve"> </w:t>
      </w:r>
      <w:r>
        <w:rPr>
          <w:b/>
          <w:sz w:val="28"/>
        </w:rPr>
        <w:t xml:space="preserve">following intensive </w:t>
      </w:r>
      <w:r w:rsidR="00D1040E">
        <w:rPr>
          <w:b/>
          <w:sz w:val="28"/>
        </w:rPr>
        <w:t xml:space="preserve">herbivory by Canada geese in two Salish Sea estuaries. </w:t>
      </w:r>
    </w:p>
    <w:p w14:paraId="67FED1B6" w14:textId="65548132" w:rsidR="00F13138" w:rsidRPr="00241A51" w:rsidRDefault="00F13138" w:rsidP="007E7955">
      <w:pPr>
        <w:pStyle w:val="NoSpacing"/>
        <w:spacing w:line="480" w:lineRule="auto"/>
      </w:pPr>
      <w:r w:rsidRPr="00A81377">
        <w:t>Stefanie L. Lane</w:t>
      </w:r>
      <w:r>
        <w:rPr>
          <w:vertAlign w:val="superscript"/>
        </w:rPr>
        <w:t>1</w:t>
      </w:r>
      <w:r>
        <w:t>, Nancy Shackelford</w:t>
      </w:r>
      <w:r>
        <w:rPr>
          <w:vertAlign w:val="superscript"/>
        </w:rPr>
        <w:t>2</w:t>
      </w:r>
      <w:r>
        <w:t>, Tara G. Martin</w:t>
      </w:r>
      <w:r>
        <w:rPr>
          <w:vertAlign w:val="superscript"/>
        </w:rPr>
        <w:t>1</w:t>
      </w:r>
      <w:r>
        <w:t xml:space="preserve"> </w:t>
      </w:r>
    </w:p>
    <w:p w14:paraId="252DD420" w14:textId="0C551B0A" w:rsidR="00F13138" w:rsidRPr="00142945" w:rsidRDefault="00F13138" w:rsidP="007E7955">
      <w:pPr>
        <w:pStyle w:val="NoSpacing"/>
        <w:spacing w:line="480" w:lineRule="auto"/>
      </w:pPr>
      <w:r w:rsidRPr="007D52A9">
        <w:rPr>
          <w:vertAlign w:val="superscript"/>
        </w:rPr>
        <w:t>1</w:t>
      </w:r>
      <w:r>
        <w:t xml:space="preserve">Conservation Decisions Lab, Department of Forest and Conservation Science, </w:t>
      </w:r>
      <w:r w:rsidRPr="00A81377">
        <w:t>University of British Columbia, Vancouver, BC</w:t>
      </w:r>
      <w:r>
        <w:t>,</w:t>
      </w:r>
      <w:r w:rsidRPr="00A81377">
        <w:t xml:space="preserve"> Canada</w:t>
      </w:r>
      <w:r>
        <w:t xml:space="preserve">; </w:t>
      </w:r>
      <w:r w:rsidRPr="00D346C6">
        <w:rPr>
          <w:vertAlign w:val="superscript"/>
        </w:rPr>
        <w:t>2</w:t>
      </w:r>
      <w:r>
        <w:t xml:space="preserve">School of Environmental Studies, University of Victoria, </w:t>
      </w:r>
      <w:r w:rsidRPr="00CC4CB5">
        <w:t>Victoria, B</w:t>
      </w:r>
      <w:r>
        <w:t>C, Canada</w:t>
      </w:r>
    </w:p>
    <w:p w14:paraId="3D23FE57" w14:textId="04BFE746" w:rsidR="00F13138" w:rsidRPr="00585C30" w:rsidRDefault="00F13138" w:rsidP="007E7955">
      <w:pPr>
        <w:pStyle w:val="NoSpacing"/>
        <w:spacing w:line="480" w:lineRule="auto"/>
        <w:ind w:left="720"/>
        <w:rPr>
          <w:rFonts w:cstheme="minorHAnsi"/>
          <w:color w:val="0563C1" w:themeColor="hyperlink"/>
          <w:sz w:val="24"/>
          <w:szCs w:val="24"/>
          <w:u w:val="single"/>
        </w:rPr>
      </w:pPr>
      <w:r w:rsidRPr="00A81377">
        <w:t xml:space="preserve">Corresponding author: </w:t>
      </w:r>
      <w:hyperlink r:id="rId5" w:history="1">
        <w:r w:rsidR="005962DE" w:rsidRPr="00492ED1">
          <w:rPr>
            <w:rStyle w:val="Hyperlink"/>
            <w:rFonts w:cstheme="minorHAnsi"/>
            <w:sz w:val="24"/>
            <w:szCs w:val="24"/>
          </w:rPr>
          <w:t>stefanielane@gmail.com</w:t>
        </w:r>
      </w:hyperlink>
    </w:p>
    <w:p w14:paraId="6476C696" w14:textId="7AE7D5D7" w:rsidR="005D4140" w:rsidRDefault="005D4140" w:rsidP="0058186D">
      <w:pPr>
        <w:pStyle w:val="NoSpacing"/>
        <w:spacing w:line="480" w:lineRule="auto"/>
        <w:ind w:left="720"/>
      </w:pPr>
      <w:r w:rsidRPr="00406ED8">
        <w:t xml:space="preserve">Submission date: </w:t>
      </w:r>
      <w:r w:rsidR="00406ED8" w:rsidRPr="00406ED8">
        <w:t>Nov</w:t>
      </w:r>
      <w:r w:rsidR="00406ED8">
        <w:t>. 6, 2023</w:t>
      </w:r>
    </w:p>
    <w:p w14:paraId="28E124F3" w14:textId="46694B83" w:rsidR="00F13138" w:rsidRDefault="00F13138" w:rsidP="007E7955">
      <w:pPr>
        <w:pStyle w:val="NoSpacing"/>
        <w:spacing w:line="480" w:lineRule="auto"/>
      </w:pPr>
      <w:r>
        <w:t>ORCID ID</w:t>
      </w:r>
    </w:p>
    <w:p w14:paraId="605353D8" w14:textId="77777777" w:rsidR="00F13138" w:rsidRDefault="00F13138" w:rsidP="007E7955">
      <w:pPr>
        <w:pStyle w:val="NoSpacing"/>
        <w:spacing w:line="480" w:lineRule="auto"/>
        <w:ind w:firstLine="720"/>
      </w:pPr>
      <w:r>
        <w:t xml:space="preserve">Stefanie L. Lane (corresponding author): </w:t>
      </w:r>
      <w:hyperlink r:id="rId6" w:history="1">
        <w:r>
          <w:rPr>
            <w:rStyle w:val="Hyperlink"/>
          </w:rPr>
          <w:t>0000-0002-4851-2772</w:t>
        </w:r>
      </w:hyperlink>
    </w:p>
    <w:p w14:paraId="77C46FF0" w14:textId="77777777" w:rsidR="00F13138" w:rsidRDefault="00F13138" w:rsidP="007E7955">
      <w:pPr>
        <w:pStyle w:val="NoSpacing"/>
        <w:spacing w:line="480" w:lineRule="auto"/>
        <w:ind w:firstLine="720"/>
      </w:pPr>
      <w:r>
        <w:t xml:space="preserve">Nancy Shackelford: </w:t>
      </w:r>
      <w:hyperlink r:id="rId7" w:history="1">
        <w:r>
          <w:rPr>
            <w:rStyle w:val="Hyperlink"/>
          </w:rPr>
          <w:t>0000-0003-4817-0423</w:t>
        </w:r>
      </w:hyperlink>
    </w:p>
    <w:p w14:paraId="46074EA9" w14:textId="77777777" w:rsidR="00F13138" w:rsidRDefault="00F13138" w:rsidP="007E7955">
      <w:pPr>
        <w:pStyle w:val="NoSpacing"/>
        <w:spacing w:line="480" w:lineRule="auto"/>
        <w:ind w:firstLine="720"/>
      </w:pPr>
      <w:r>
        <w:t xml:space="preserve">Tara G. Marin: </w:t>
      </w:r>
      <w:hyperlink r:id="rId8" w:history="1">
        <w:r>
          <w:rPr>
            <w:rStyle w:val="Hyperlink"/>
          </w:rPr>
          <w:t>0000-0001-7165-9812</w:t>
        </w:r>
      </w:hyperlink>
    </w:p>
    <w:p w14:paraId="216188A1" w14:textId="041FCC1F" w:rsidR="00F13138" w:rsidRDefault="00F13138" w:rsidP="007E7955">
      <w:pPr>
        <w:pStyle w:val="Heading2"/>
        <w:numPr>
          <w:ilvl w:val="0"/>
          <w:numId w:val="0"/>
        </w:numPr>
        <w:spacing w:line="480" w:lineRule="auto"/>
        <w:ind w:left="576" w:hanging="576"/>
      </w:pPr>
      <w:r>
        <w:t>Abstract</w:t>
      </w:r>
    </w:p>
    <w:p w14:paraId="0BA258C8" w14:textId="43D97984" w:rsidR="006F11CD" w:rsidRDefault="00566398" w:rsidP="007E7955">
      <w:pPr>
        <w:spacing w:line="480" w:lineRule="auto"/>
      </w:pPr>
      <w:r>
        <w:t>Tidal marsh</w:t>
      </w:r>
      <w:r w:rsidR="0052049E">
        <w:t xml:space="preserve"> plant communities</w:t>
      </w:r>
      <w:r w:rsidR="00567B66">
        <w:t xml:space="preserve"> in the Pacific Northwest </w:t>
      </w:r>
      <w:r>
        <w:t xml:space="preserve">are characterized by graminoids (grasses, rushes, and sedges), which provide </w:t>
      </w:r>
      <w:r w:rsidR="00EB1846">
        <w:t xml:space="preserve">forage for herbivores such as Canada geese. Excessive grazing by Canada geese </w:t>
      </w:r>
      <w:r w:rsidR="008E0076">
        <w:t xml:space="preserve">leads to loss of marsh habitat, </w:t>
      </w:r>
      <w:r w:rsidR="00D5344B">
        <w:t>and removal of grazing pressure</w:t>
      </w:r>
      <w:r w:rsidR="00266D07">
        <w:t xml:space="preserve"> is required</w:t>
      </w:r>
      <w:r w:rsidR="00D5344B">
        <w:t xml:space="preserve"> for the vegetation to recover. G</w:t>
      </w:r>
      <w:r w:rsidR="00A14FFB">
        <w:t>razing exclosures</w:t>
      </w:r>
      <w:r w:rsidR="00266D07">
        <w:t xml:space="preserve"> (fences)</w:t>
      </w:r>
      <w:r w:rsidR="00A14FFB">
        <w:t xml:space="preserve"> are used to allow time and space for </w:t>
      </w:r>
      <w:r w:rsidR="0034617E">
        <w:t>vegetation to recover following intensive herbivory</w:t>
      </w:r>
      <w:r w:rsidR="00266D07">
        <w:t>; h</w:t>
      </w:r>
      <w:r w:rsidR="0034617E">
        <w:t xml:space="preserve">owever, whether the technique is effective for native plant communities to recover has not been </w:t>
      </w:r>
      <w:r w:rsidR="000A3E25">
        <w:t xml:space="preserve">tested. We </w:t>
      </w:r>
      <w:r w:rsidR="00605ED0">
        <w:t>used generalized linear models to compare</w:t>
      </w:r>
      <w:r w:rsidR="000A3E25">
        <w:t xml:space="preserve"> </w:t>
      </w:r>
      <w:r w:rsidR="00747983">
        <w:t>graminoid</w:t>
      </w:r>
      <w:r w:rsidR="000A3E25">
        <w:t xml:space="preserve"> species identity and </w:t>
      </w:r>
      <w:r w:rsidR="00281088">
        <w:t>abundance</w:t>
      </w:r>
      <w:r w:rsidR="00605ED0">
        <w:t xml:space="preserve"> of above-ground vegetation and surface seed banks</w:t>
      </w:r>
      <w:r w:rsidR="00281088">
        <w:t xml:space="preserve"> in 1-year old </w:t>
      </w:r>
      <w:r w:rsidR="00584D44">
        <w:t xml:space="preserve">and 10-year old </w:t>
      </w:r>
      <w:r w:rsidR="00281088">
        <w:t>exclosures to areas of the marsh that had no known history of grazing (</w:t>
      </w:r>
      <w:r w:rsidR="00747983">
        <w:t>undisturbed</w:t>
      </w:r>
      <w:r w:rsidR="00281088">
        <w:t>) and areas still actively graz</w:t>
      </w:r>
      <w:r w:rsidR="00605ED0">
        <w:t xml:space="preserve">ed. </w:t>
      </w:r>
    </w:p>
    <w:p w14:paraId="3000D753" w14:textId="180CC6EA" w:rsidR="00A55141" w:rsidRPr="005D4140" w:rsidRDefault="008E7468" w:rsidP="007E7955">
      <w:pPr>
        <w:spacing w:line="480" w:lineRule="auto"/>
      </w:pPr>
      <w:r>
        <w:lastRenderedPageBreak/>
        <w:t>W</w:t>
      </w:r>
      <w:r w:rsidR="006F11CD">
        <w:t xml:space="preserve">e found surface seed banks </w:t>
      </w:r>
      <w:r w:rsidR="00822C06">
        <w:t xml:space="preserve">lacked seed of native graminoids in </w:t>
      </w:r>
      <w:r w:rsidR="00E9232B">
        <w:t xml:space="preserve">actively grazed and 1-year old exclosures, while 10-year old enclosures and undisturbed areas of the marsh </w:t>
      </w:r>
      <w:r w:rsidR="003046AD">
        <w:t xml:space="preserve">had equal or greater abundance of non-native graminoid seed compared to native graminoid seeds. </w:t>
      </w:r>
      <w:r w:rsidR="0099062D">
        <w:t xml:space="preserve">Further, we found 10-year old exclosures had significantly greater non-native graminoid cover in the above-ground vegetation, indicating </w:t>
      </w:r>
      <w:r w:rsidR="003D54CB">
        <w:t>vegetation</w:t>
      </w:r>
      <w:r w:rsidR="000449A7">
        <w:t xml:space="preserve"> may not recover</w:t>
      </w:r>
      <w:r w:rsidR="003D54CB">
        <w:t xml:space="preserve"> </w:t>
      </w:r>
      <w:r w:rsidR="00CE22F6">
        <w:t xml:space="preserve">towards </w:t>
      </w:r>
      <w:r w:rsidR="00DB65AE">
        <w:t xml:space="preserve">comparable historic conditions </w:t>
      </w:r>
      <w:r w:rsidR="000449A7">
        <w:t>through grazing exclusion alone. These results indicate active restoration techniques may be required following intensive grazing, especially in estuaries where the</w:t>
      </w:r>
      <w:r w:rsidR="00D468A6">
        <w:t xml:space="preserve"> vegetation community and</w:t>
      </w:r>
      <w:r w:rsidR="000449A7">
        <w:t xml:space="preserve"> surface seed bank has a high abundance of non-native</w:t>
      </w:r>
      <w:r w:rsidR="00D468A6">
        <w:t xml:space="preserve">, invasive species. </w:t>
      </w:r>
    </w:p>
    <w:p w14:paraId="22D9AB1D" w14:textId="77777777" w:rsidR="00F13138" w:rsidRDefault="00F13138" w:rsidP="007E7955">
      <w:pPr>
        <w:pStyle w:val="Heading2"/>
        <w:numPr>
          <w:ilvl w:val="0"/>
          <w:numId w:val="0"/>
        </w:numPr>
        <w:spacing w:line="480" w:lineRule="auto"/>
        <w:ind w:left="576" w:hanging="576"/>
      </w:pPr>
      <w:r>
        <w:t xml:space="preserve">Keywords </w:t>
      </w:r>
    </w:p>
    <w:p w14:paraId="7827F51B" w14:textId="1AE34C13" w:rsidR="005D4140" w:rsidRPr="005D4140" w:rsidRDefault="0002624E" w:rsidP="007E7955">
      <w:pPr>
        <w:spacing w:line="480" w:lineRule="auto"/>
      </w:pPr>
      <w:r>
        <w:t>A</w:t>
      </w:r>
      <w:r w:rsidR="006331EC">
        <w:t xml:space="preserve">ctive </w:t>
      </w:r>
      <w:r w:rsidR="003B6029">
        <w:t>restoration</w:t>
      </w:r>
      <w:r w:rsidR="006331EC">
        <w:t>;</w:t>
      </w:r>
      <w:r w:rsidR="003B6029">
        <w:t xml:space="preserve"> </w:t>
      </w:r>
      <w:r w:rsidR="00DF1367">
        <w:t xml:space="preserve">conservation </w:t>
      </w:r>
      <w:r w:rsidR="003B6029">
        <w:t xml:space="preserve">land management; </w:t>
      </w:r>
      <w:r w:rsidR="00DF1367">
        <w:t xml:space="preserve">invasive </w:t>
      </w:r>
      <w:r>
        <w:t>species; alternative stable states</w:t>
      </w:r>
    </w:p>
    <w:p w14:paraId="1F7A2941" w14:textId="77777777" w:rsidR="00F13138" w:rsidRDefault="00F13138" w:rsidP="007E7955">
      <w:pPr>
        <w:pStyle w:val="Heading2"/>
        <w:numPr>
          <w:ilvl w:val="0"/>
          <w:numId w:val="0"/>
        </w:numPr>
        <w:spacing w:line="480" w:lineRule="auto"/>
        <w:ind w:left="576" w:hanging="576"/>
      </w:pPr>
      <w:r>
        <w:t>Acknowledgements</w:t>
      </w:r>
    </w:p>
    <w:p w14:paraId="7026C347" w14:textId="31A155A3" w:rsidR="00F671AC" w:rsidRDefault="00F671AC" w:rsidP="007E7955">
      <w:pPr>
        <w:spacing w:line="480" w:lineRule="auto"/>
      </w:pPr>
      <w:r>
        <w:t xml:space="preserve">We thank P. </w:t>
      </w:r>
      <w:r w:rsidR="00584079">
        <w:t xml:space="preserve">Chalmers and G. Melchers for their </w:t>
      </w:r>
      <w:r w:rsidR="0066644D">
        <w:t>field assistance to complete data collection</w:t>
      </w:r>
      <w:r w:rsidR="00613E24">
        <w:t xml:space="preserve">, and </w:t>
      </w:r>
      <w:r w:rsidR="0066644D">
        <w:t xml:space="preserve">B. </w:t>
      </w:r>
      <w:r w:rsidR="00370E08">
        <w:t>Binges</w:t>
      </w:r>
      <w:r w:rsidR="00C53252">
        <w:t xml:space="preserve">, </w:t>
      </w:r>
      <w:r w:rsidR="00613E24">
        <w:t>the University of Victoria Glover Greenhouse</w:t>
      </w:r>
      <w:r w:rsidR="00C53252">
        <w:t xml:space="preserve">, and Centre for Forest Biology for facilitating </w:t>
      </w:r>
      <w:r w:rsidR="00613E24">
        <w:t xml:space="preserve">greenhouse space </w:t>
      </w:r>
      <w:r w:rsidR="008A798F">
        <w:t xml:space="preserve">to </w:t>
      </w:r>
      <w:r w:rsidR="00585C30">
        <w:t>conduct seed bank germination.</w:t>
      </w:r>
      <w:r w:rsidR="00584079">
        <w:t xml:space="preserve"> </w:t>
      </w:r>
      <w:r w:rsidRPr="009F6C5D">
        <w:t xml:space="preserve">Financial </w:t>
      </w:r>
      <w:r w:rsidRPr="009F6C5D">
        <w:rPr>
          <w:rFonts w:cstheme="minorHAnsi"/>
        </w:rPr>
        <w:t xml:space="preserve">support for 2021 field surveys was provided by </w:t>
      </w:r>
      <w:r w:rsidRPr="009F6C5D">
        <w:rPr>
          <w:rFonts w:cstheme="minorHAnsi"/>
          <w:iCs/>
        </w:rPr>
        <w:t>Natural Sciences and Engineering Research Council</w:t>
      </w:r>
      <w:r w:rsidRPr="009F6C5D">
        <w:rPr>
          <w:rFonts w:cstheme="minorHAnsi"/>
        </w:rPr>
        <w:t xml:space="preserve"> of Canada </w:t>
      </w:r>
      <w:r w:rsidR="008C0981">
        <w:rPr>
          <w:rFonts w:cstheme="minorHAnsi"/>
        </w:rPr>
        <w:t xml:space="preserve">(NSERC) </w:t>
      </w:r>
      <w:r w:rsidRPr="009F6C5D">
        <w:rPr>
          <w:rFonts w:cstheme="minorHAnsi"/>
        </w:rPr>
        <w:t xml:space="preserve">Discovery Grant RGPIN-2018-03838 to </w:t>
      </w:r>
      <w:r w:rsidR="008C0981">
        <w:rPr>
          <w:rFonts w:cstheme="minorHAnsi"/>
        </w:rPr>
        <w:t>J.</w:t>
      </w:r>
      <w:r w:rsidRPr="009F6C5D">
        <w:rPr>
          <w:rFonts w:cstheme="minorHAnsi"/>
        </w:rPr>
        <w:t xml:space="preserve"> S. Richardson (University of British Columbia)</w:t>
      </w:r>
      <w:r w:rsidR="00CB3CA0">
        <w:rPr>
          <w:rFonts w:cstheme="minorHAnsi"/>
        </w:rPr>
        <w:t xml:space="preserve">. </w:t>
      </w:r>
      <w:r>
        <w:rPr>
          <w:rFonts w:cstheme="minorHAnsi"/>
        </w:rPr>
        <w:t xml:space="preserve">Analysis and manuscript writing was supported by Liber Ero Chair in Conservation to </w:t>
      </w:r>
      <w:r w:rsidR="008C0981">
        <w:rPr>
          <w:rFonts w:cstheme="minorHAnsi"/>
        </w:rPr>
        <w:t>T.</w:t>
      </w:r>
      <w:r>
        <w:rPr>
          <w:rFonts w:cstheme="minorHAnsi"/>
        </w:rPr>
        <w:t xml:space="preserve"> G. Martin, and a Mitacs Accelerate Fellowship to </w:t>
      </w:r>
      <w:r w:rsidR="008C0981">
        <w:rPr>
          <w:rFonts w:cstheme="minorHAnsi"/>
        </w:rPr>
        <w:t>S.</w:t>
      </w:r>
      <w:r>
        <w:rPr>
          <w:rFonts w:cstheme="minorHAnsi"/>
        </w:rPr>
        <w:t xml:space="preserve"> L. Lane. </w:t>
      </w:r>
    </w:p>
    <w:p w14:paraId="603E8DB5" w14:textId="77777777" w:rsidR="00F13138" w:rsidRDefault="00F13138" w:rsidP="007E7955">
      <w:pPr>
        <w:spacing w:line="480" w:lineRule="auto"/>
        <w:rPr>
          <w:rFonts w:asciiTheme="majorHAnsi" w:eastAsiaTheme="majorEastAsia" w:hAnsiTheme="majorHAnsi" w:cstheme="majorBidi"/>
          <w:b/>
          <w:bCs/>
          <w:color w:val="2F5496" w:themeColor="accent1" w:themeShade="BF"/>
          <w:sz w:val="28"/>
          <w:szCs w:val="28"/>
        </w:rPr>
      </w:pPr>
      <w:r>
        <w:rPr>
          <w:b/>
          <w:bCs/>
          <w:sz w:val="28"/>
          <w:szCs w:val="28"/>
        </w:rPr>
        <w:br w:type="page"/>
      </w:r>
    </w:p>
    <w:p w14:paraId="511EFDBA" w14:textId="6BCE3119" w:rsidR="00257DF2" w:rsidRPr="00134487" w:rsidRDefault="00257DF2" w:rsidP="007E7955">
      <w:pPr>
        <w:pStyle w:val="Heading1"/>
        <w:numPr>
          <w:ilvl w:val="0"/>
          <w:numId w:val="0"/>
        </w:numPr>
        <w:suppressLineNumbers/>
        <w:spacing w:line="480" w:lineRule="auto"/>
        <w:ind w:left="432" w:hanging="432"/>
      </w:pPr>
      <w:r w:rsidRPr="00134487">
        <w:lastRenderedPageBreak/>
        <w:t>Introduction</w:t>
      </w:r>
      <w:bookmarkEnd w:id="0"/>
    </w:p>
    <w:p w14:paraId="2CF8A197" w14:textId="3E9A3EA3" w:rsidR="00257DF2" w:rsidRPr="0002389B" w:rsidRDefault="00257DF2" w:rsidP="007E7955">
      <w:pPr>
        <w:spacing w:line="480" w:lineRule="auto"/>
        <w:ind w:firstLine="576"/>
        <w:rPr>
          <w:sz w:val="24"/>
          <w:szCs w:val="24"/>
        </w:rPr>
      </w:pPr>
      <w:r w:rsidRPr="0002389B">
        <w:rPr>
          <w:sz w:val="24"/>
          <w:szCs w:val="24"/>
        </w:rPr>
        <w:t xml:space="preserve">Estuaries around the world are subject to disturbance and cumulative effects of stressors from a variety of natural and anthropogenic disturbances </w:t>
      </w:r>
      <w:r w:rsidRPr="0002389B">
        <w:rPr>
          <w:rFonts w:ascii="Calibri" w:hAnsi="Calibri" w:cs="Calibri"/>
          <w:sz w:val="24"/>
          <w:szCs w:val="24"/>
        </w:rPr>
        <w:t>(Lotze, 2010; Zedler, 2017)</w:t>
      </w:r>
      <w:r w:rsidRPr="0002389B">
        <w:rPr>
          <w:sz w:val="24"/>
          <w:szCs w:val="24"/>
        </w:rPr>
        <w:t xml:space="preserve">. Sources of disturbance or stressors may occur on a variety of spatial and temporal scales, from extensive conversion of estuarine floodplain for municipal and industrial use </w:t>
      </w:r>
      <w:r w:rsidRPr="0002389B">
        <w:rPr>
          <w:rFonts w:ascii="Calibri" w:hAnsi="Calibri" w:cs="Calibri"/>
          <w:sz w:val="24"/>
          <w:szCs w:val="24"/>
        </w:rPr>
        <w:t>(Finn et al., 2021)</w:t>
      </w:r>
      <w:r w:rsidRPr="0002389B">
        <w:rPr>
          <w:sz w:val="24"/>
          <w:szCs w:val="24"/>
        </w:rPr>
        <w:t>, to local disturbances such as</w:t>
      </w:r>
      <w:r w:rsidR="00A55141">
        <w:rPr>
          <w:sz w:val="24"/>
          <w:szCs w:val="24"/>
        </w:rPr>
        <w:t xml:space="preserve"> intensive</w:t>
      </w:r>
      <w:r w:rsidRPr="0002389B">
        <w:rPr>
          <w:sz w:val="24"/>
          <w:szCs w:val="24"/>
        </w:rPr>
        <w:t xml:space="preserve"> storm</w:t>
      </w:r>
      <w:r w:rsidR="00A55141">
        <w:rPr>
          <w:sz w:val="24"/>
          <w:szCs w:val="24"/>
        </w:rPr>
        <w:t>s</w:t>
      </w:r>
      <w:r w:rsidRPr="0002389B">
        <w:rPr>
          <w:sz w:val="24"/>
          <w:szCs w:val="24"/>
        </w:rPr>
        <w:t xml:space="preserve"> or tidal surge</w:t>
      </w:r>
      <w:r w:rsidR="00A55141">
        <w:rPr>
          <w:sz w:val="24"/>
          <w:szCs w:val="24"/>
        </w:rPr>
        <w:t>s</w:t>
      </w:r>
      <w:r w:rsidRPr="0002389B">
        <w:rPr>
          <w:sz w:val="24"/>
          <w:szCs w:val="24"/>
        </w:rPr>
        <w:t xml:space="preserve"> </w:t>
      </w:r>
      <w:r w:rsidRPr="0002389B">
        <w:rPr>
          <w:rFonts w:ascii="Calibri" w:hAnsi="Calibri" w:cs="Calibri"/>
          <w:sz w:val="24"/>
          <w:szCs w:val="24"/>
        </w:rPr>
        <w:t>(Pasternack, 2009)</w:t>
      </w:r>
      <w:r w:rsidRPr="0002389B">
        <w:rPr>
          <w:sz w:val="24"/>
          <w:szCs w:val="24"/>
        </w:rPr>
        <w:t xml:space="preserve">. These cumulative impacts can have negative consequences on plant communities comprising estuarine habitat, such as native species biodiversity loss or species homogenization, leading to altered community structure and functional processes </w:t>
      </w:r>
      <w:r w:rsidRPr="0002389B">
        <w:rPr>
          <w:rFonts w:ascii="Calibri" w:hAnsi="Calibri" w:cs="Calibri"/>
          <w:sz w:val="24"/>
          <w:szCs w:val="24"/>
        </w:rPr>
        <w:t xml:space="preserve">(Price et al., 2020; </w:t>
      </w:r>
      <w:proofErr w:type="spellStart"/>
      <w:r w:rsidRPr="0002389B">
        <w:rPr>
          <w:rFonts w:ascii="Calibri" w:hAnsi="Calibri" w:cs="Calibri"/>
          <w:sz w:val="24"/>
          <w:szCs w:val="24"/>
        </w:rPr>
        <w:t>Simberloff</w:t>
      </w:r>
      <w:proofErr w:type="spellEnd"/>
      <w:r w:rsidRPr="0002389B">
        <w:rPr>
          <w:rFonts w:ascii="Calibri" w:hAnsi="Calibri" w:cs="Calibri"/>
          <w:sz w:val="24"/>
          <w:szCs w:val="24"/>
        </w:rPr>
        <w:t xml:space="preserve"> et al., 2013)</w:t>
      </w:r>
      <w:r w:rsidRPr="0002389B">
        <w:rPr>
          <w:sz w:val="24"/>
          <w:szCs w:val="24"/>
        </w:rPr>
        <w:t>. Not only does this directly impact the biodiversity and function of an estuary, but it can erode resistance to subsequent disturbance as historically abundant species become locally extirpated (Diefenderfer et al., 2021; Johnstone et al., 2016; Schaefer, 2011).</w:t>
      </w:r>
    </w:p>
    <w:p w14:paraId="595BE03E" w14:textId="69F7096E" w:rsidR="00257DF2" w:rsidRPr="0002389B" w:rsidRDefault="00257DF2" w:rsidP="007E7955">
      <w:pPr>
        <w:spacing w:line="480" w:lineRule="auto"/>
        <w:ind w:firstLine="720"/>
        <w:rPr>
          <w:sz w:val="24"/>
          <w:szCs w:val="24"/>
        </w:rPr>
      </w:pPr>
      <w:r w:rsidRPr="0002389B">
        <w:rPr>
          <w:sz w:val="24"/>
          <w:szCs w:val="24"/>
        </w:rPr>
        <w:t xml:space="preserve">Following disturbance, life history strategies of colonizing species may drive alternative successional trajectories, leading to alternative species composition and abundance in the recovering habitat </w:t>
      </w:r>
      <w:r w:rsidRPr="0002389B">
        <w:rPr>
          <w:rFonts w:ascii="Calibri" w:hAnsi="Calibri" w:cs="Calibri"/>
          <w:sz w:val="24"/>
          <w:szCs w:val="24"/>
        </w:rPr>
        <w:t xml:space="preserve">(Connell &amp; </w:t>
      </w:r>
      <w:proofErr w:type="spellStart"/>
      <w:r w:rsidRPr="0002389B">
        <w:rPr>
          <w:rFonts w:ascii="Calibri" w:hAnsi="Calibri" w:cs="Calibri"/>
          <w:sz w:val="24"/>
          <w:szCs w:val="24"/>
        </w:rPr>
        <w:t>Sla</w:t>
      </w:r>
      <w:r w:rsidR="009C3A77">
        <w:rPr>
          <w:rFonts w:ascii="Calibri" w:hAnsi="Calibri" w:cs="Calibri"/>
          <w:sz w:val="24"/>
          <w:szCs w:val="24"/>
        </w:rPr>
        <w:t>ty</w:t>
      </w:r>
      <w:r w:rsidRPr="0002389B">
        <w:rPr>
          <w:rFonts w:ascii="Calibri" w:hAnsi="Calibri" w:cs="Calibri"/>
          <w:sz w:val="24"/>
          <w:szCs w:val="24"/>
        </w:rPr>
        <w:t>er</w:t>
      </w:r>
      <w:proofErr w:type="spellEnd"/>
      <w:r w:rsidRPr="0002389B">
        <w:rPr>
          <w:rFonts w:ascii="Calibri" w:hAnsi="Calibri" w:cs="Calibri"/>
          <w:sz w:val="24"/>
          <w:szCs w:val="24"/>
        </w:rPr>
        <w:t>, 1977; Ricklefs, 1987)</w:t>
      </w:r>
      <w:r w:rsidRPr="0002389B">
        <w:rPr>
          <w:sz w:val="24"/>
          <w:szCs w:val="24"/>
        </w:rPr>
        <w:t xml:space="preserve">. If life history traits are sufficiently competitive, early colonizers may inhibit recruitment of species diversity present in the pre-disturbance community, thus shifting it to an alternative stable </w:t>
      </w:r>
      <w:proofErr w:type="gramStart"/>
      <w:r w:rsidRPr="0002389B">
        <w:rPr>
          <w:sz w:val="24"/>
          <w:szCs w:val="24"/>
        </w:rPr>
        <w:t xml:space="preserve">state  </w:t>
      </w:r>
      <w:r w:rsidRPr="0002389B">
        <w:rPr>
          <w:rFonts w:ascii="Calibri" w:hAnsi="Calibri" w:cs="Calibri"/>
          <w:sz w:val="24"/>
          <w:szCs w:val="24"/>
        </w:rPr>
        <w:t>(</w:t>
      </w:r>
      <w:proofErr w:type="gramEnd"/>
      <w:r w:rsidRPr="0002389B">
        <w:rPr>
          <w:rFonts w:ascii="Calibri" w:hAnsi="Calibri" w:cs="Calibri"/>
          <w:sz w:val="24"/>
          <w:szCs w:val="24"/>
        </w:rPr>
        <w:t xml:space="preserve">Connell &amp; </w:t>
      </w:r>
      <w:proofErr w:type="spellStart"/>
      <w:r w:rsidRPr="0002389B">
        <w:rPr>
          <w:rFonts w:ascii="Calibri" w:hAnsi="Calibri" w:cs="Calibri"/>
          <w:sz w:val="24"/>
          <w:szCs w:val="24"/>
        </w:rPr>
        <w:t>Slatyer</w:t>
      </w:r>
      <w:proofErr w:type="spellEnd"/>
      <w:r w:rsidRPr="0002389B">
        <w:rPr>
          <w:rFonts w:ascii="Calibri" w:hAnsi="Calibri" w:cs="Calibri"/>
          <w:sz w:val="24"/>
          <w:szCs w:val="24"/>
        </w:rPr>
        <w:t>, 1977; Scheffer &amp; Carpenter, 2003)</w:t>
      </w:r>
      <w:r w:rsidRPr="0002389B">
        <w:rPr>
          <w:sz w:val="24"/>
          <w:szCs w:val="24"/>
        </w:rPr>
        <w:t>. How successional trajectories proceed in estuarine plant communities depend</w:t>
      </w:r>
      <w:r>
        <w:rPr>
          <w:sz w:val="24"/>
          <w:szCs w:val="24"/>
        </w:rPr>
        <w:t>s</w:t>
      </w:r>
      <w:r w:rsidRPr="0002389B">
        <w:rPr>
          <w:sz w:val="24"/>
          <w:szCs w:val="24"/>
        </w:rPr>
        <w:t xml:space="preserve"> on abiotic conditions (e.g., elevation, salinity), as well as availability of viable plant propagules. Propagules may be present in the form of seeds deposited into the sediment surface (hereafter, surface seed bank), or vegetative clonal growth at the site. Local propagule inputs may be derived from seed rain from parent plants or extension of clonal stems </w:t>
      </w:r>
      <w:r w:rsidRPr="0002389B">
        <w:rPr>
          <w:sz w:val="24"/>
          <w:szCs w:val="24"/>
        </w:rPr>
        <w:lastRenderedPageBreak/>
        <w:t xml:space="preserve">within the site, and dependent on species-specific growth strategies such as seed limitation in favor of clonal growth </w:t>
      </w:r>
      <w:r w:rsidRPr="0002389B">
        <w:rPr>
          <w:rFonts w:ascii="Calibri" w:hAnsi="Calibri" w:cs="Calibri"/>
          <w:sz w:val="24"/>
          <w:szCs w:val="24"/>
        </w:rPr>
        <w:t>(</w:t>
      </w:r>
      <w:proofErr w:type="spellStart"/>
      <w:r w:rsidRPr="0002389B">
        <w:rPr>
          <w:rFonts w:ascii="Calibri" w:hAnsi="Calibri" w:cs="Calibri"/>
          <w:sz w:val="24"/>
          <w:szCs w:val="24"/>
        </w:rPr>
        <w:t>Morzaria</w:t>
      </w:r>
      <w:proofErr w:type="spellEnd"/>
      <w:r w:rsidRPr="0002389B">
        <w:rPr>
          <w:rFonts w:ascii="Calibri" w:hAnsi="Calibri" w:cs="Calibri"/>
          <w:sz w:val="24"/>
          <w:szCs w:val="24"/>
        </w:rPr>
        <w:t>-Luna &amp; Zedler, 2007)</w:t>
      </w:r>
      <w:r w:rsidRPr="0002389B">
        <w:rPr>
          <w:sz w:val="24"/>
          <w:szCs w:val="24"/>
        </w:rPr>
        <w:t xml:space="preserve">. However, dispersal of propagules from distant sites is possible through water, with seed or clonal fragments of some species able to float on tidal currents for weeks to months to reach new colonization sites </w:t>
      </w:r>
      <w:r w:rsidRPr="0002389B">
        <w:rPr>
          <w:rFonts w:ascii="Calibri" w:hAnsi="Calibri" w:cs="Calibri"/>
          <w:sz w:val="24"/>
          <w:szCs w:val="24"/>
        </w:rPr>
        <w:t>(</w:t>
      </w:r>
      <w:proofErr w:type="spellStart"/>
      <w:r w:rsidRPr="0002389B">
        <w:rPr>
          <w:rFonts w:ascii="Calibri" w:hAnsi="Calibri" w:cs="Calibri"/>
          <w:sz w:val="24"/>
          <w:szCs w:val="24"/>
        </w:rPr>
        <w:t>Koutstaal</w:t>
      </w:r>
      <w:proofErr w:type="spellEnd"/>
      <w:r w:rsidRPr="0002389B">
        <w:rPr>
          <w:rFonts w:ascii="Calibri" w:hAnsi="Calibri" w:cs="Calibri"/>
          <w:sz w:val="24"/>
          <w:szCs w:val="24"/>
        </w:rPr>
        <w:t xml:space="preserve"> et al., 1987)</w:t>
      </w:r>
      <w:r w:rsidRPr="0002389B">
        <w:rPr>
          <w:sz w:val="24"/>
          <w:szCs w:val="24"/>
        </w:rPr>
        <w:t xml:space="preserve">. Novel species (e.g., </w:t>
      </w:r>
      <w:proofErr w:type="gramStart"/>
      <w:r w:rsidRPr="0002389B">
        <w:rPr>
          <w:sz w:val="24"/>
          <w:szCs w:val="24"/>
        </w:rPr>
        <w:t>non-native</w:t>
      </w:r>
      <w:proofErr w:type="gramEnd"/>
      <w:r w:rsidRPr="0002389B">
        <w:rPr>
          <w:sz w:val="24"/>
          <w:szCs w:val="24"/>
        </w:rPr>
        <w:t xml:space="preserve"> or invasive species) locally encroaching from terrestrial habitat or dispersed through water into an estuary may shift propagule loads, and thus shift potential recovery trajectories of a site via priority effects </w:t>
      </w:r>
      <w:r w:rsidRPr="0002389B">
        <w:rPr>
          <w:rFonts w:ascii="Calibri" w:hAnsi="Calibri" w:cs="Calibri"/>
          <w:sz w:val="24"/>
          <w:szCs w:val="24"/>
        </w:rPr>
        <w:t xml:space="preserve">(Connell &amp; </w:t>
      </w:r>
      <w:proofErr w:type="spellStart"/>
      <w:r w:rsidRPr="0002389B">
        <w:rPr>
          <w:rFonts w:ascii="Calibri" w:hAnsi="Calibri" w:cs="Calibri"/>
          <w:sz w:val="24"/>
          <w:szCs w:val="24"/>
        </w:rPr>
        <w:t>Slatyer</w:t>
      </w:r>
      <w:proofErr w:type="spellEnd"/>
      <w:r w:rsidRPr="0002389B">
        <w:rPr>
          <w:rFonts w:ascii="Calibri" w:hAnsi="Calibri" w:cs="Calibri"/>
          <w:sz w:val="24"/>
          <w:szCs w:val="24"/>
        </w:rPr>
        <w:t>, 1977)</w:t>
      </w:r>
      <w:r w:rsidRPr="0002389B">
        <w:rPr>
          <w:sz w:val="24"/>
          <w:szCs w:val="24"/>
        </w:rPr>
        <w:t xml:space="preserve"> before a disturbance event occurs. Following disturbance, propagule pressure may overshadow recruitment advantages of historically dominant species </w:t>
      </w:r>
      <w:r w:rsidRPr="0002389B">
        <w:rPr>
          <w:rFonts w:ascii="Calibri" w:hAnsi="Calibri" w:cs="Calibri"/>
          <w:sz w:val="24"/>
          <w:szCs w:val="24"/>
        </w:rPr>
        <w:t>(</w:t>
      </w:r>
      <w:proofErr w:type="spellStart"/>
      <w:r w:rsidRPr="0002389B">
        <w:rPr>
          <w:rFonts w:ascii="Calibri" w:hAnsi="Calibri" w:cs="Calibri"/>
          <w:sz w:val="24"/>
          <w:szCs w:val="24"/>
        </w:rPr>
        <w:t>Lavorel</w:t>
      </w:r>
      <w:proofErr w:type="spellEnd"/>
      <w:r w:rsidRPr="0002389B">
        <w:rPr>
          <w:rFonts w:ascii="Calibri" w:hAnsi="Calibri" w:cs="Calibri"/>
          <w:sz w:val="24"/>
          <w:szCs w:val="24"/>
        </w:rPr>
        <w:t xml:space="preserve"> &amp; </w:t>
      </w:r>
      <w:proofErr w:type="spellStart"/>
      <w:r w:rsidRPr="0002389B">
        <w:rPr>
          <w:rFonts w:ascii="Calibri" w:hAnsi="Calibri" w:cs="Calibri"/>
          <w:sz w:val="24"/>
          <w:szCs w:val="24"/>
        </w:rPr>
        <w:t>Lebreton</w:t>
      </w:r>
      <w:proofErr w:type="spellEnd"/>
      <w:r w:rsidRPr="0002389B">
        <w:rPr>
          <w:rFonts w:ascii="Calibri" w:hAnsi="Calibri" w:cs="Calibri"/>
          <w:sz w:val="24"/>
          <w:szCs w:val="24"/>
        </w:rPr>
        <w:t>, 1992)</w:t>
      </w:r>
      <w:r w:rsidRPr="0002389B">
        <w:rPr>
          <w:sz w:val="24"/>
          <w:szCs w:val="24"/>
        </w:rPr>
        <w:t xml:space="preserve">. </w:t>
      </w:r>
    </w:p>
    <w:p w14:paraId="34B681D1" w14:textId="32AA9ED4" w:rsidR="00257DF2" w:rsidRPr="001D5F5D" w:rsidRDefault="00257DF2" w:rsidP="007E7955">
      <w:pPr>
        <w:spacing w:line="480" w:lineRule="auto"/>
        <w:ind w:firstLine="720"/>
        <w:rPr>
          <w:rFonts w:cstheme="minorHAnsi"/>
          <w:sz w:val="24"/>
          <w:szCs w:val="24"/>
        </w:rPr>
      </w:pPr>
      <w:r w:rsidRPr="001D5F5D">
        <w:rPr>
          <w:rFonts w:cstheme="minorHAnsi"/>
          <w:sz w:val="24"/>
          <w:szCs w:val="24"/>
        </w:rPr>
        <w:t>Post-disturbance propagule recruitment</w:t>
      </w:r>
      <w:r>
        <w:rPr>
          <w:rFonts w:cstheme="minorHAnsi"/>
          <w:sz w:val="24"/>
          <w:szCs w:val="24"/>
        </w:rPr>
        <w:t xml:space="preserve"> and establishment, especially in tidal marshes,</w:t>
      </w:r>
      <w:r w:rsidRPr="001D5F5D">
        <w:rPr>
          <w:rFonts w:cstheme="minorHAnsi"/>
          <w:sz w:val="24"/>
          <w:szCs w:val="24"/>
        </w:rPr>
        <w:t xml:space="preserve"> </w:t>
      </w:r>
      <w:r>
        <w:rPr>
          <w:rFonts w:cstheme="minorHAnsi"/>
          <w:sz w:val="24"/>
          <w:szCs w:val="24"/>
        </w:rPr>
        <w:t>depends on abiotic conditions including</w:t>
      </w:r>
      <w:r w:rsidRPr="001D5F5D">
        <w:rPr>
          <w:rFonts w:cstheme="minorHAnsi"/>
          <w:sz w:val="24"/>
          <w:szCs w:val="24"/>
        </w:rPr>
        <w:t xml:space="preserve"> </w:t>
      </w:r>
      <w:r>
        <w:rPr>
          <w:rFonts w:cstheme="minorHAnsi"/>
          <w:sz w:val="24"/>
          <w:szCs w:val="24"/>
        </w:rPr>
        <w:t xml:space="preserve">disturbance-free temporal niches, termed </w:t>
      </w:r>
      <w:r w:rsidRPr="001D5F5D">
        <w:rPr>
          <w:rFonts w:cstheme="minorHAnsi"/>
          <w:sz w:val="24"/>
          <w:szCs w:val="24"/>
        </w:rPr>
        <w:t xml:space="preserve">windows of </w:t>
      </w:r>
      <w:r w:rsidR="007E7955" w:rsidRPr="001D5F5D">
        <w:rPr>
          <w:rFonts w:cstheme="minorHAnsi"/>
          <w:sz w:val="24"/>
          <w:szCs w:val="24"/>
        </w:rPr>
        <w:t>opportunity</w:t>
      </w:r>
      <w:r w:rsidR="007E7955">
        <w:rPr>
          <w:rFonts w:cstheme="minorHAnsi"/>
          <w:sz w:val="24"/>
          <w:szCs w:val="24"/>
        </w:rPr>
        <w:t xml:space="preserve"> </w:t>
      </w:r>
      <w:r w:rsidR="007E7955" w:rsidRPr="001D5F5D">
        <w:rPr>
          <w:rFonts w:cstheme="minorHAnsi"/>
          <w:sz w:val="24"/>
          <w:szCs w:val="24"/>
        </w:rPr>
        <w:t>(</w:t>
      </w:r>
      <w:r w:rsidRPr="001D5F5D">
        <w:rPr>
          <w:rFonts w:ascii="Calibri" w:hAnsi="Calibri" w:cs="Calibri"/>
          <w:sz w:val="24"/>
          <w:szCs w:val="24"/>
        </w:rPr>
        <w:t>Balke et al., 2014)</w:t>
      </w:r>
      <w:r>
        <w:rPr>
          <w:rFonts w:cstheme="minorHAnsi"/>
          <w:sz w:val="24"/>
          <w:szCs w:val="24"/>
        </w:rPr>
        <w:t>, where germinating seeds must anchor and elongate their roots before they are subject to dislodging during subsequent tidal inundation</w:t>
      </w:r>
      <w:r w:rsidRPr="001D5F5D">
        <w:rPr>
          <w:rFonts w:cstheme="minorHAnsi"/>
          <w:sz w:val="24"/>
          <w:szCs w:val="24"/>
        </w:rPr>
        <w:t xml:space="preserve">. </w:t>
      </w:r>
      <w:r>
        <w:rPr>
          <w:rFonts w:cstheme="minorHAnsi"/>
          <w:sz w:val="24"/>
          <w:szCs w:val="24"/>
        </w:rPr>
        <w:t xml:space="preserve">Because seedlings are susceptible to dislodging or drowning during tidal inundation, </w:t>
      </w:r>
      <w:r w:rsidRPr="001D5F5D">
        <w:rPr>
          <w:rFonts w:cstheme="minorHAnsi"/>
          <w:sz w:val="24"/>
          <w:szCs w:val="24"/>
        </w:rPr>
        <w:t xml:space="preserve">successful establishment </w:t>
      </w:r>
      <w:r>
        <w:rPr>
          <w:rFonts w:cstheme="minorHAnsi"/>
          <w:sz w:val="24"/>
          <w:szCs w:val="24"/>
        </w:rPr>
        <w:t>favors</w:t>
      </w:r>
      <w:r w:rsidRPr="001D5F5D">
        <w:rPr>
          <w:rFonts w:cstheme="minorHAnsi"/>
          <w:sz w:val="24"/>
          <w:szCs w:val="24"/>
        </w:rPr>
        <w:t xml:space="preserve"> clonal fragments over seed-based establishment at tidal elevations with greater erosion and inundation stress (</w:t>
      </w:r>
      <w:proofErr w:type="spellStart"/>
      <w:r w:rsidRPr="001D5F5D">
        <w:rPr>
          <w:rFonts w:cstheme="minorHAnsi"/>
          <w:sz w:val="24"/>
          <w:szCs w:val="24"/>
        </w:rPr>
        <w:t>Silinski</w:t>
      </w:r>
      <w:proofErr w:type="spellEnd"/>
      <w:r w:rsidRPr="001D5F5D">
        <w:rPr>
          <w:rFonts w:cstheme="minorHAnsi"/>
          <w:sz w:val="24"/>
          <w:szCs w:val="24"/>
        </w:rPr>
        <w:t xml:space="preserve"> et al., 2016). However, increases in the frequency or duration of local disturbances can impact the</w:t>
      </w:r>
      <w:r>
        <w:rPr>
          <w:rFonts w:cstheme="minorHAnsi"/>
          <w:sz w:val="24"/>
          <w:szCs w:val="24"/>
        </w:rPr>
        <w:t xml:space="preserve"> recruitment</w:t>
      </w:r>
      <w:r w:rsidRPr="001D5F5D">
        <w:rPr>
          <w:rFonts w:cstheme="minorHAnsi"/>
          <w:sz w:val="24"/>
          <w:szCs w:val="24"/>
        </w:rPr>
        <w:t xml:space="preserve"> </w:t>
      </w:r>
      <w:r>
        <w:rPr>
          <w:rFonts w:cstheme="minorHAnsi"/>
          <w:sz w:val="24"/>
          <w:szCs w:val="24"/>
        </w:rPr>
        <w:t xml:space="preserve">window of opportunity </w:t>
      </w:r>
      <w:r w:rsidRPr="001D5F5D">
        <w:rPr>
          <w:rFonts w:cstheme="minorHAnsi"/>
          <w:sz w:val="24"/>
          <w:szCs w:val="24"/>
        </w:rPr>
        <w:t xml:space="preserve">for historically successful propagules </w:t>
      </w:r>
      <w:r w:rsidRPr="001D5F5D">
        <w:rPr>
          <w:rFonts w:ascii="Calibri" w:hAnsi="Calibri" w:cs="Calibri"/>
          <w:sz w:val="24"/>
          <w:szCs w:val="24"/>
        </w:rPr>
        <w:t>(Hu et al., 2015)</w:t>
      </w:r>
      <w:r w:rsidRPr="001D5F5D">
        <w:rPr>
          <w:rFonts w:cstheme="minorHAnsi"/>
          <w:sz w:val="24"/>
          <w:szCs w:val="24"/>
        </w:rPr>
        <w:t xml:space="preserve">. For example, stronger storms or tidal currents due to changing climate, or increased </w:t>
      </w:r>
      <w:r>
        <w:rPr>
          <w:rFonts w:cstheme="minorHAnsi"/>
          <w:sz w:val="24"/>
          <w:szCs w:val="24"/>
        </w:rPr>
        <w:t>human</w:t>
      </w:r>
      <w:r w:rsidRPr="001D5F5D">
        <w:rPr>
          <w:rFonts w:cstheme="minorHAnsi"/>
          <w:sz w:val="24"/>
          <w:szCs w:val="24"/>
        </w:rPr>
        <w:t xml:space="preserve"> disturbances such as boat waves can become a compounding feedback loop between </w:t>
      </w:r>
      <w:r>
        <w:rPr>
          <w:rFonts w:cstheme="minorHAnsi"/>
          <w:sz w:val="24"/>
          <w:szCs w:val="24"/>
        </w:rPr>
        <w:t>altered</w:t>
      </w:r>
      <w:r w:rsidRPr="001D5F5D">
        <w:rPr>
          <w:rFonts w:cstheme="minorHAnsi"/>
          <w:sz w:val="24"/>
          <w:szCs w:val="24"/>
        </w:rPr>
        <w:t xml:space="preserve"> propagule availability and</w:t>
      </w:r>
      <w:r>
        <w:rPr>
          <w:rFonts w:cstheme="minorHAnsi"/>
          <w:sz w:val="24"/>
          <w:szCs w:val="24"/>
        </w:rPr>
        <w:t xml:space="preserve"> altered</w:t>
      </w:r>
      <w:r w:rsidRPr="001D5F5D">
        <w:rPr>
          <w:rFonts w:cstheme="minorHAnsi"/>
          <w:sz w:val="24"/>
          <w:szCs w:val="24"/>
        </w:rPr>
        <w:t xml:space="preserve"> </w:t>
      </w:r>
      <w:r>
        <w:rPr>
          <w:rFonts w:cstheme="minorHAnsi"/>
          <w:sz w:val="24"/>
          <w:szCs w:val="24"/>
        </w:rPr>
        <w:t xml:space="preserve">windows of opportunity for </w:t>
      </w:r>
      <w:r w:rsidRPr="001D5F5D">
        <w:rPr>
          <w:rFonts w:cstheme="minorHAnsi"/>
          <w:sz w:val="24"/>
          <w:szCs w:val="24"/>
        </w:rPr>
        <w:t xml:space="preserve">successful species </w:t>
      </w:r>
      <w:r>
        <w:rPr>
          <w:rFonts w:cstheme="minorHAnsi"/>
          <w:sz w:val="24"/>
          <w:szCs w:val="24"/>
        </w:rPr>
        <w:t xml:space="preserve">to establish, resulting in an environmental filter influencing which species may </w:t>
      </w:r>
      <w:r w:rsidRPr="001D5F5D">
        <w:rPr>
          <w:rFonts w:cstheme="minorHAnsi"/>
          <w:sz w:val="24"/>
          <w:szCs w:val="24"/>
        </w:rPr>
        <w:t xml:space="preserve">successfully establish within the new windows of opportunity. </w:t>
      </w:r>
    </w:p>
    <w:p w14:paraId="589EF9DA"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lastRenderedPageBreak/>
        <w:t>Some natural disturbance events, like grazing</w:t>
      </w:r>
      <w:r>
        <w:rPr>
          <w:rFonts w:cstheme="minorHAnsi"/>
          <w:sz w:val="24"/>
          <w:szCs w:val="24"/>
        </w:rPr>
        <w:t xml:space="preserve"> by ungulates or waterfowl,</w:t>
      </w:r>
      <w:r w:rsidRPr="001D5F5D">
        <w:rPr>
          <w:rFonts w:cstheme="minorHAnsi"/>
          <w:sz w:val="24"/>
          <w:szCs w:val="24"/>
        </w:rPr>
        <w:t xml:space="preserve"> may occur as either discrete, short-term events, or as long-term disturbance agents in an ecosystem. Historically, grazing would have occurred as species like waterfowl moved through on migration routes, and forage preference would be related to seasonal plant phenology </w:t>
      </w:r>
      <w:r w:rsidRPr="001D5F5D">
        <w:rPr>
          <w:rFonts w:ascii="Calibri" w:hAnsi="Calibri" w:cs="Calibri"/>
          <w:sz w:val="24"/>
          <w:szCs w:val="24"/>
        </w:rPr>
        <w:t xml:space="preserve">(Buchsbaum &amp; </w:t>
      </w:r>
      <w:proofErr w:type="spellStart"/>
      <w:r w:rsidRPr="001D5F5D">
        <w:rPr>
          <w:rFonts w:ascii="Calibri" w:hAnsi="Calibri" w:cs="Calibri"/>
          <w:sz w:val="24"/>
          <w:szCs w:val="24"/>
        </w:rPr>
        <w:t>Valiela</w:t>
      </w:r>
      <w:proofErr w:type="spellEnd"/>
      <w:r w:rsidRPr="001D5F5D">
        <w:rPr>
          <w:rFonts w:ascii="Calibri" w:hAnsi="Calibri" w:cs="Calibri"/>
          <w:sz w:val="24"/>
          <w:szCs w:val="24"/>
        </w:rPr>
        <w:t>, 1987)</w:t>
      </w:r>
      <w:r w:rsidRPr="001D5F5D">
        <w:rPr>
          <w:rFonts w:cstheme="minorHAnsi"/>
          <w:sz w:val="24"/>
          <w:szCs w:val="24"/>
        </w:rPr>
        <w:t xml:space="preserve">. </w:t>
      </w:r>
      <w:r>
        <w:rPr>
          <w:rFonts w:cstheme="minorHAnsi"/>
          <w:sz w:val="24"/>
          <w:szCs w:val="24"/>
        </w:rPr>
        <w:t>Under</w:t>
      </w:r>
      <w:r w:rsidRPr="001D5F5D">
        <w:rPr>
          <w:rFonts w:cstheme="minorHAnsi"/>
          <w:sz w:val="24"/>
          <w:szCs w:val="24"/>
        </w:rPr>
        <w:t xml:space="preserve"> these </w:t>
      </w:r>
      <w:r>
        <w:rPr>
          <w:rFonts w:cstheme="minorHAnsi"/>
          <w:sz w:val="24"/>
          <w:szCs w:val="24"/>
        </w:rPr>
        <w:t>grazing regimes</w:t>
      </w:r>
      <w:r w:rsidRPr="001D5F5D">
        <w:rPr>
          <w:rFonts w:cstheme="minorHAnsi"/>
          <w:sz w:val="24"/>
          <w:szCs w:val="24"/>
        </w:rPr>
        <w:t xml:space="preserve">, plant communities were able to passively recover through natural recruitment and succession </w:t>
      </w:r>
      <w:r w:rsidRPr="001D5F5D">
        <w:rPr>
          <w:rFonts w:ascii="Calibri" w:hAnsi="Calibri" w:cs="Calibri"/>
          <w:sz w:val="24"/>
          <w:szCs w:val="24"/>
        </w:rPr>
        <w:t>(Meli et al., 2017)</w:t>
      </w:r>
      <w:r w:rsidRPr="001D5F5D">
        <w:rPr>
          <w:rFonts w:cstheme="minorHAnsi"/>
          <w:sz w:val="24"/>
          <w:szCs w:val="24"/>
        </w:rPr>
        <w:t xml:space="preserve">. However, </w:t>
      </w:r>
      <w:proofErr w:type="gramStart"/>
      <w:r w:rsidRPr="001D5F5D">
        <w:rPr>
          <w:rFonts w:cstheme="minorHAnsi"/>
          <w:sz w:val="24"/>
          <w:szCs w:val="24"/>
        </w:rPr>
        <w:t>intensive</w:t>
      </w:r>
      <w:proofErr w:type="gramEnd"/>
      <w:r w:rsidRPr="001D5F5D">
        <w:rPr>
          <w:rFonts w:cstheme="minorHAnsi"/>
          <w:sz w:val="24"/>
          <w:szCs w:val="24"/>
        </w:rPr>
        <w:t xml:space="preserve"> or persistent grazing</w:t>
      </w:r>
      <w:r>
        <w:rPr>
          <w:rFonts w:cstheme="minorHAnsi"/>
          <w:sz w:val="24"/>
          <w:szCs w:val="24"/>
        </w:rPr>
        <w:t xml:space="preserve"> in conservation areas such as estuaries</w:t>
      </w:r>
      <w:r w:rsidRPr="001D5F5D">
        <w:rPr>
          <w:rFonts w:cstheme="minorHAnsi"/>
          <w:sz w:val="24"/>
          <w:szCs w:val="24"/>
        </w:rPr>
        <w:t xml:space="preserve"> is becoming more common with the introduction of novel grazers</w:t>
      </w:r>
      <w:r>
        <w:rPr>
          <w:rFonts w:cstheme="minorHAnsi"/>
          <w:sz w:val="24"/>
          <w:szCs w:val="24"/>
        </w:rPr>
        <w:t xml:space="preserve"> within a region</w:t>
      </w:r>
      <w:r w:rsidRPr="001D5F5D">
        <w:rPr>
          <w:rFonts w:cstheme="minorHAnsi"/>
          <w:sz w:val="24"/>
          <w:szCs w:val="24"/>
        </w:rPr>
        <w:t xml:space="preserve">, </w:t>
      </w:r>
      <w:r>
        <w:rPr>
          <w:rFonts w:cstheme="minorHAnsi"/>
          <w:sz w:val="24"/>
          <w:szCs w:val="24"/>
        </w:rPr>
        <w:t>compounded by</w:t>
      </w:r>
      <w:r w:rsidRPr="001D5F5D">
        <w:rPr>
          <w:rFonts w:cstheme="minorHAnsi"/>
          <w:sz w:val="24"/>
          <w:szCs w:val="24"/>
        </w:rPr>
        <w:t xml:space="preserve"> the loss of </w:t>
      </w:r>
      <w:r>
        <w:rPr>
          <w:rFonts w:cstheme="minorHAnsi"/>
          <w:sz w:val="24"/>
          <w:szCs w:val="24"/>
        </w:rPr>
        <w:t>conservation habitat</w:t>
      </w:r>
      <w:r w:rsidRPr="001D5F5D">
        <w:rPr>
          <w:rFonts w:cstheme="minorHAnsi"/>
          <w:sz w:val="24"/>
          <w:szCs w:val="24"/>
        </w:rPr>
        <w:t xml:space="preserve"> due to </w:t>
      </w:r>
      <w:r>
        <w:rPr>
          <w:rFonts w:cstheme="minorHAnsi"/>
          <w:sz w:val="24"/>
          <w:szCs w:val="24"/>
        </w:rPr>
        <w:t xml:space="preserve">anthropogenic </w:t>
      </w:r>
      <w:r w:rsidRPr="001D5F5D">
        <w:rPr>
          <w:rFonts w:cstheme="minorHAnsi"/>
          <w:sz w:val="24"/>
          <w:szCs w:val="24"/>
        </w:rPr>
        <w:t>landscape change</w:t>
      </w:r>
      <w:r>
        <w:rPr>
          <w:rFonts w:cstheme="minorHAnsi"/>
          <w:sz w:val="24"/>
          <w:szCs w:val="24"/>
        </w:rPr>
        <w:t>s</w:t>
      </w:r>
      <w:r w:rsidRPr="001D5F5D">
        <w:rPr>
          <w:rFonts w:cstheme="minorHAnsi"/>
          <w:sz w:val="24"/>
          <w:szCs w:val="24"/>
        </w:rPr>
        <w:t xml:space="preserve"> </w:t>
      </w:r>
      <w:r w:rsidRPr="001D5F5D">
        <w:rPr>
          <w:rFonts w:ascii="Calibri" w:hAnsi="Calibri" w:cs="Calibri"/>
          <w:sz w:val="24"/>
          <w:szCs w:val="24"/>
        </w:rPr>
        <w:t>(Clausen &amp; Percival, 1998; Prowse et al., 2019)</w:t>
      </w:r>
      <w:r w:rsidRPr="001D5F5D">
        <w:rPr>
          <w:rFonts w:cstheme="minorHAnsi"/>
          <w:sz w:val="24"/>
          <w:szCs w:val="24"/>
        </w:rPr>
        <w:t xml:space="preserve">. These new grazing pressures can effectively reset successional processes through total removal of </w:t>
      </w:r>
      <w:r>
        <w:rPr>
          <w:rFonts w:cstheme="minorHAnsi"/>
          <w:sz w:val="24"/>
          <w:szCs w:val="24"/>
        </w:rPr>
        <w:t>mature vegetation by opening space with reduced or absent competition</w:t>
      </w:r>
      <w:r w:rsidRPr="001D5F5D">
        <w:rPr>
          <w:rFonts w:cstheme="minorHAnsi"/>
          <w:sz w:val="24"/>
          <w:szCs w:val="24"/>
        </w:rPr>
        <w:t xml:space="preserve">, and </w:t>
      </w:r>
      <w:r>
        <w:rPr>
          <w:rFonts w:cstheme="minorHAnsi"/>
          <w:sz w:val="24"/>
          <w:szCs w:val="24"/>
        </w:rPr>
        <w:t xml:space="preserve">thus </w:t>
      </w:r>
      <w:r w:rsidRPr="001D5F5D">
        <w:rPr>
          <w:rFonts w:cstheme="minorHAnsi"/>
          <w:sz w:val="24"/>
          <w:szCs w:val="24"/>
        </w:rPr>
        <w:t>potentially set the plant community on a recovery trajectory towards an alternative stable state via</w:t>
      </w:r>
      <w:r>
        <w:rPr>
          <w:rFonts w:cstheme="minorHAnsi"/>
          <w:sz w:val="24"/>
          <w:szCs w:val="24"/>
        </w:rPr>
        <w:t xml:space="preserve"> seed bank recruitment </w:t>
      </w:r>
      <w:r w:rsidRPr="001D5F5D">
        <w:rPr>
          <w:rFonts w:ascii="Calibri" w:hAnsi="Calibri" w:cs="Calibri"/>
          <w:sz w:val="24"/>
          <w:szCs w:val="24"/>
        </w:rPr>
        <w:t xml:space="preserve">(Abernethy &amp; </w:t>
      </w:r>
      <w:proofErr w:type="spellStart"/>
      <w:r w:rsidRPr="001D5F5D">
        <w:rPr>
          <w:rFonts w:ascii="Calibri" w:hAnsi="Calibri" w:cs="Calibri"/>
          <w:sz w:val="24"/>
          <w:szCs w:val="24"/>
        </w:rPr>
        <w:t>Willby</w:t>
      </w:r>
      <w:proofErr w:type="spellEnd"/>
      <w:r w:rsidRPr="001D5F5D">
        <w:rPr>
          <w:rFonts w:ascii="Calibri" w:hAnsi="Calibri" w:cs="Calibri"/>
          <w:sz w:val="24"/>
          <w:szCs w:val="24"/>
        </w:rPr>
        <w:t>, 1999; Srivastava &amp; Jefferies, 1996)</w:t>
      </w:r>
      <w:r w:rsidRPr="001D5F5D">
        <w:rPr>
          <w:rFonts w:cstheme="minorHAnsi"/>
          <w:sz w:val="24"/>
          <w:szCs w:val="24"/>
        </w:rPr>
        <w:t xml:space="preserve">. Through alternative competitive strategies, these novel species can shift recovery trajectories to a new compositional palette. </w:t>
      </w:r>
    </w:p>
    <w:p w14:paraId="65E4129C"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Estuaries around the Salish Sea in the Pacific Northwest of North America are dominated by swards of graminoids (sedges, rushes, grasses) whose competitive strategies include clonal vegetative reproduction and tall (&gt; 1 m) canopy cover, interspersed with a diversity of broadleaf, flowering species (“forbs”) </w:t>
      </w:r>
      <w:r w:rsidRPr="001D5F5D">
        <w:rPr>
          <w:rFonts w:ascii="Calibri" w:hAnsi="Calibri" w:cs="Calibri"/>
          <w:sz w:val="24"/>
          <w:szCs w:val="24"/>
        </w:rPr>
        <w:t>(Borde et al., 2020)</w:t>
      </w:r>
      <w:r w:rsidRPr="001D5F5D">
        <w:rPr>
          <w:rFonts w:cstheme="minorHAnsi"/>
          <w:sz w:val="24"/>
          <w:szCs w:val="24"/>
        </w:rPr>
        <w:t>. Many estuaries in this region are overgrazed by non-native, hyperabundant Canada geese (</w:t>
      </w:r>
      <w:r w:rsidRPr="001D5F5D">
        <w:rPr>
          <w:rFonts w:cstheme="minorHAnsi"/>
          <w:i/>
          <w:iCs/>
          <w:sz w:val="24"/>
          <w:szCs w:val="24"/>
        </w:rPr>
        <w:t>Branta canadensis</w:t>
      </w:r>
      <w:r w:rsidRPr="001D5F5D">
        <w:rPr>
          <w:rFonts w:cstheme="minorHAnsi"/>
          <w:sz w:val="24"/>
          <w:szCs w:val="24"/>
        </w:rPr>
        <w:t xml:space="preserve"> ssp. </w:t>
      </w:r>
      <w:r w:rsidRPr="001D5F5D">
        <w:rPr>
          <w:rFonts w:cstheme="minorHAnsi"/>
          <w:i/>
          <w:iCs/>
          <w:sz w:val="24"/>
          <w:szCs w:val="24"/>
        </w:rPr>
        <w:t>Fulva</w:t>
      </w:r>
      <w:r w:rsidRPr="001D5F5D">
        <w:rPr>
          <w:rFonts w:cstheme="minorHAnsi"/>
          <w:sz w:val="24"/>
          <w:szCs w:val="24"/>
        </w:rPr>
        <w:t xml:space="preserve">) </w:t>
      </w:r>
      <w:r w:rsidRPr="001D5F5D">
        <w:rPr>
          <w:rFonts w:ascii="Calibri" w:hAnsi="Calibri" w:cs="Calibri"/>
          <w:sz w:val="24"/>
          <w:szCs w:val="24"/>
        </w:rPr>
        <w:t>(Dawe et al., 2011; Dawe &amp; Stewart, 2010)</w:t>
      </w:r>
      <w:r w:rsidRPr="001D5F5D">
        <w:rPr>
          <w:rFonts w:cstheme="minorHAnsi"/>
          <w:sz w:val="24"/>
          <w:szCs w:val="24"/>
        </w:rPr>
        <w:t xml:space="preserve">. In addition to removing leafy above-ground vegetation, Canada geese will rip out or “grub” starchy rhizomes capable of clonal reproduction, which in turn increases </w:t>
      </w:r>
      <w:r>
        <w:rPr>
          <w:rFonts w:cstheme="minorHAnsi"/>
          <w:sz w:val="24"/>
          <w:szCs w:val="24"/>
        </w:rPr>
        <w:lastRenderedPageBreak/>
        <w:t>erosion of</w:t>
      </w:r>
      <w:r w:rsidRPr="001D5F5D">
        <w:rPr>
          <w:rFonts w:cstheme="minorHAnsi"/>
          <w:sz w:val="24"/>
          <w:szCs w:val="24"/>
        </w:rPr>
        <w:t xml:space="preserve"> marsh sediments and their seed banks. Estuary plant communities impacted by intensive goose herbivory</w:t>
      </w:r>
      <w:r>
        <w:rPr>
          <w:rFonts w:cstheme="minorHAnsi"/>
          <w:sz w:val="24"/>
          <w:szCs w:val="24"/>
        </w:rPr>
        <w:t xml:space="preserve"> and associated sediment disturbances</w:t>
      </w:r>
      <w:r w:rsidRPr="001D5F5D">
        <w:rPr>
          <w:rFonts w:cstheme="minorHAnsi"/>
          <w:sz w:val="24"/>
          <w:szCs w:val="24"/>
        </w:rPr>
        <w:t xml:space="preserve"> </w:t>
      </w:r>
      <w:r>
        <w:rPr>
          <w:rFonts w:cstheme="minorHAnsi"/>
          <w:sz w:val="24"/>
          <w:szCs w:val="24"/>
        </w:rPr>
        <w:t>can</w:t>
      </w:r>
      <w:r w:rsidRPr="001D5F5D">
        <w:rPr>
          <w:rFonts w:cstheme="minorHAnsi"/>
          <w:sz w:val="24"/>
          <w:szCs w:val="24"/>
        </w:rPr>
        <w:t xml:space="preserve"> recover either </w:t>
      </w:r>
      <w:r>
        <w:rPr>
          <w:rFonts w:cstheme="minorHAnsi"/>
          <w:sz w:val="24"/>
          <w:szCs w:val="24"/>
        </w:rPr>
        <w:t>by</w:t>
      </w:r>
      <w:r w:rsidRPr="001D5F5D">
        <w:rPr>
          <w:rFonts w:cstheme="minorHAnsi"/>
          <w:sz w:val="24"/>
          <w:szCs w:val="24"/>
        </w:rPr>
        <w:t xml:space="preserve"> clonal expansion from adjacent remnant patches, or through seed recruitment from seed dispersed and retained on the eroded site. </w:t>
      </w:r>
      <w:r>
        <w:rPr>
          <w:rFonts w:cstheme="minorHAnsi"/>
          <w:sz w:val="24"/>
          <w:szCs w:val="24"/>
        </w:rPr>
        <w:t xml:space="preserve">For graminoids that are seed-limited, such as </w:t>
      </w:r>
      <w:r>
        <w:rPr>
          <w:rFonts w:cstheme="minorHAnsi"/>
          <w:i/>
          <w:iCs/>
          <w:sz w:val="24"/>
          <w:szCs w:val="24"/>
        </w:rPr>
        <w:t>Carex</w:t>
      </w:r>
      <w:r>
        <w:rPr>
          <w:rFonts w:cstheme="minorHAnsi"/>
          <w:sz w:val="24"/>
          <w:szCs w:val="24"/>
        </w:rPr>
        <w:t xml:space="preserve"> sp. </w:t>
      </w:r>
      <w:r w:rsidRPr="00D554C1">
        <w:rPr>
          <w:rFonts w:ascii="Calibri" w:hAnsi="Calibri" w:cs="Calibri"/>
          <w:kern w:val="0"/>
          <w:sz w:val="24"/>
          <w:szCs w:val="24"/>
        </w:rPr>
        <w:t xml:space="preserve">(Kettenring &amp; </w:t>
      </w:r>
      <w:proofErr w:type="spellStart"/>
      <w:r w:rsidRPr="00D554C1">
        <w:rPr>
          <w:rFonts w:ascii="Calibri" w:hAnsi="Calibri" w:cs="Calibri"/>
          <w:kern w:val="0"/>
          <w:sz w:val="24"/>
          <w:szCs w:val="24"/>
        </w:rPr>
        <w:t>Galatowitsch</w:t>
      </w:r>
      <w:proofErr w:type="spellEnd"/>
      <w:r w:rsidRPr="00D554C1">
        <w:rPr>
          <w:rFonts w:ascii="Calibri" w:hAnsi="Calibri" w:cs="Calibri"/>
          <w:kern w:val="0"/>
          <w:sz w:val="24"/>
          <w:szCs w:val="24"/>
        </w:rPr>
        <w:t>, 2011; Schütz, 2000)</w:t>
      </w:r>
      <w:r>
        <w:rPr>
          <w:rFonts w:cstheme="minorHAnsi"/>
          <w:sz w:val="24"/>
          <w:szCs w:val="24"/>
        </w:rPr>
        <w:t>, recovery of these species to pre-disturbance abundance may be more dependent on</w:t>
      </w:r>
      <w:r w:rsidRPr="001D5F5D">
        <w:rPr>
          <w:rFonts w:cstheme="minorHAnsi"/>
          <w:sz w:val="24"/>
          <w:szCs w:val="24"/>
        </w:rPr>
        <w:t xml:space="preserve"> the presence of intact, clonally dominated communities adjacent to the grazed areas. </w:t>
      </w:r>
    </w:p>
    <w:p w14:paraId="79AAD285"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Our main objective of this study was to understand propagule composition and availability within surface seed banks, and above-ground vegetation compositional changes at discrete stages since removal of grazing by Canada geese in two Salish Sea estuaries. Traditional succession models </w:t>
      </w:r>
      <w:r>
        <w:rPr>
          <w:rFonts w:cstheme="minorHAnsi"/>
          <w:sz w:val="24"/>
          <w:szCs w:val="24"/>
        </w:rPr>
        <w:t>relate</w:t>
      </w:r>
      <w:r w:rsidRPr="001D5F5D">
        <w:rPr>
          <w:rFonts w:cstheme="minorHAnsi"/>
          <w:sz w:val="24"/>
          <w:szCs w:val="24"/>
        </w:rPr>
        <w:t xml:space="preserve"> the most competitive species will increasingly dominate the plant community as time since disturbance increases </w:t>
      </w:r>
      <w:r w:rsidRPr="001D5F5D">
        <w:rPr>
          <w:rFonts w:ascii="Calibri" w:hAnsi="Calibri" w:cs="Calibri"/>
          <w:sz w:val="24"/>
          <w:szCs w:val="24"/>
        </w:rPr>
        <w:t>(Tilman, 1990)</w:t>
      </w:r>
      <w:r w:rsidRPr="001D5F5D">
        <w:rPr>
          <w:rFonts w:cstheme="minorHAnsi"/>
          <w:sz w:val="24"/>
          <w:szCs w:val="24"/>
        </w:rPr>
        <w:t>. This would particularly be the case in a</w:t>
      </w:r>
      <w:r>
        <w:rPr>
          <w:rFonts w:cstheme="minorHAnsi"/>
          <w:sz w:val="24"/>
          <w:szCs w:val="24"/>
        </w:rPr>
        <w:t xml:space="preserve"> community dominated by</w:t>
      </w:r>
      <w:r w:rsidRPr="001D5F5D">
        <w:rPr>
          <w:rFonts w:cstheme="minorHAnsi"/>
          <w:sz w:val="24"/>
          <w:szCs w:val="24"/>
        </w:rPr>
        <w:t xml:space="preserve"> clonal </w:t>
      </w:r>
      <w:r>
        <w:rPr>
          <w:rFonts w:cstheme="minorHAnsi"/>
          <w:sz w:val="24"/>
          <w:szCs w:val="24"/>
        </w:rPr>
        <w:t>species</w:t>
      </w:r>
      <w:r w:rsidRPr="001D5F5D">
        <w:rPr>
          <w:rFonts w:cstheme="minorHAnsi"/>
          <w:sz w:val="24"/>
          <w:szCs w:val="24"/>
        </w:rPr>
        <w:t xml:space="preserve">, where recovery is driven by species spreading clonally from adjacent undisturbed </w:t>
      </w:r>
      <w:r>
        <w:rPr>
          <w:rFonts w:cstheme="minorHAnsi"/>
          <w:sz w:val="24"/>
          <w:szCs w:val="24"/>
        </w:rPr>
        <w:t>patches</w:t>
      </w:r>
      <w:r w:rsidRPr="001D5F5D">
        <w:rPr>
          <w:rFonts w:cstheme="minorHAnsi"/>
          <w:sz w:val="24"/>
          <w:szCs w:val="24"/>
        </w:rPr>
        <w:t xml:space="preserve">, in addition to potential recruitment from the seed bank. If succession is </w:t>
      </w:r>
      <w:r w:rsidRPr="000E2B00">
        <w:rPr>
          <w:rFonts w:cstheme="minorHAnsi"/>
          <w:sz w:val="24"/>
          <w:szCs w:val="24"/>
        </w:rPr>
        <w:t xml:space="preserve">happening the way </w:t>
      </w:r>
      <w:r w:rsidRPr="0002389B">
        <w:rPr>
          <w:rFonts w:cstheme="minorHAnsi"/>
          <w:sz w:val="24"/>
          <w:szCs w:val="24"/>
        </w:rPr>
        <w:t>inhibition</w:t>
      </w:r>
      <w:r w:rsidRPr="000E2B00">
        <w:rPr>
          <w:rFonts w:cstheme="minorHAnsi"/>
          <w:sz w:val="24"/>
          <w:szCs w:val="24"/>
        </w:rPr>
        <w:t xml:space="preserve"> model</w:t>
      </w:r>
      <w:r w:rsidRPr="0002389B">
        <w:rPr>
          <w:rFonts w:cstheme="minorHAnsi"/>
          <w:sz w:val="24"/>
          <w:szCs w:val="24"/>
        </w:rPr>
        <w:t>s</w:t>
      </w:r>
      <w:r w:rsidRPr="000E2B00">
        <w:rPr>
          <w:rFonts w:cstheme="minorHAnsi"/>
          <w:sz w:val="24"/>
          <w:szCs w:val="24"/>
        </w:rPr>
        <w:t xml:space="preserve"> explain, then</w:t>
      </w:r>
      <w:r w:rsidRPr="001D5F5D">
        <w:rPr>
          <w:rFonts w:cstheme="minorHAnsi"/>
          <w:sz w:val="24"/>
          <w:szCs w:val="24"/>
        </w:rPr>
        <w:t xml:space="preserve">: </w:t>
      </w:r>
    </w:p>
    <w:p w14:paraId="295B2F14" w14:textId="77777777" w:rsidR="00257DF2" w:rsidRPr="001D5F5D" w:rsidRDefault="00257DF2" w:rsidP="007E7955">
      <w:pPr>
        <w:pStyle w:val="ListParagraph"/>
        <w:numPr>
          <w:ilvl w:val="0"/>
          <w:numId w:val="1"/>
        </w:numPr>
        <w:spacing w:line="480" w:lineRule="auto"/>
        <w:rPr>
          <w:rFonts w:cstheme="minorHAnsi"/>
          <w:sz w:val="24"/>
          <w:szCs w:val="24"/>
        </w:rPr>
      </w:pPr>
      <w:r w:rsidRPr="001D5F5D">
        <w:rPr>
          <w:rFonts w:cstheme="minorHAnsi"/>
          <w:sz w:val="24"/>
          <w:szCs w:val="24"/>
        </w:rPr>
        <w:t>Composition</w:t>
      </w:r>
      <w:r>
        <w:rPr>
          <w:rFonts w:cstheme="minorHAnsi"/>
          <w:sz w:val="24"/>
          <w:szCs w:val="24"/>
        </w:rPr>
        <w:t xml:space="preserve"> and </w:t>
      </w:r>
      <w:r w:rsidRPr="001D5F5D">
        <w:rPr>
          <w:rFonts w:cstheme="minorHAnsi"/>
          <w:sz w:val="24"/>
          <w:szCs w:val="24"/>
        </w:rPr>
        <w:t xml:space="preserve">abundance of dominant tall, perennial graminoids in above ground vegetation at older disturbance sites will have greater similarity to undisturbed (reference) vegetation than recently disturbed sites. Alternatively, the </w:t>
      </w:r>
      <w:r>
        <w:rPr>
          <w:rFonts w:cstheme="minorHAnsi"/>
          <w:sz w:val="24"/>
          <w:szCs w:val="24"/>
        </w:rPr>
        <w:t>grazing</w:t>
      </w:r>
      <w:r w:rsidRPr="001D5F5D">
        <w:rPr>
          <w:rFonts w:cstheme="minorHAnsi"/>
          <w:sz w:val="24"/>
          <w:szCs w:val="24"/>
        </w:rPr>
        <w:t xml:space="preserve"> disturbance</w:t>
      </w:r>
      <w:r>
        <w:rPr>
          <w:rFonts w:cstheme="minorHAnsi"/>
          <w:sz w:val="24"/>
          <w:szCs w:val="24"/>
        </w:rPr>
        <w:t xml:space="preserve"> to remove vegetation</w:t>
      </w:r>
      <w:r w:rsidRPr="001D5F5D">
        <w:rPr>
          <w:rFonts w:cstheme="minorHAnsi"/>
          <w:sz w:val="24"/>
          <w:szCs w:val="24"/>
        </w:rPr>
        <w:t xml:space="preserve"> and altered propagule availability can lead to alternative succession pathways, where new species can achieve competitive dominance through seed or clonal recruitment, derailing the slow clonal encroachment of historically dominant species from neighboring sites. If this is the case, we expect compositional abundance of competitively dominant </w:t>
      </w:r>
      <w:r w:rsidRPr="001D5F5D">
        <w:rPr>
          <w:rFonts w:cstheme="minorHAnsi"/>
          <w:sz w:val="24"/>
          <w:szCs w:val="24"/>
        </w:rPr>
        <w:lastRenderedPageBreak/>
        <w:t xml:space="preserve">species in the older disturbance sites will be significantly different from that of undisturbed sites. </w:t>
      </w:r>
    </w:p>
    <w:p w14:paraId="2A29E85C" w14:textId="77777777" w:rsidR="00257DF2" w:rsidRPr="00A9274A" w:rsidRDefault="00257DF2" w:rsidP="007E7955">
      <w:pPr>
        <w:pStyle w:val="ListParagraph"/>
        <w:numPr>
          <w:ilvl w:val="0"/>
          <w:numId w:val="1"/>
        </w:numPr>
        <w:spacing w:line="480" w:lineRule="auto"/>
        <w:rPr>
          <w:rFonts w:cstheme="minorHAnsi"/>
          <w:sz w:val="24"/>
          <w:szCs w:val="24"/>
        </w:rPr>
      </w:pPr>
      <w:r w:rsidRPr="001D5F5D">
        <w:rPr>
          <w:rFonts w:cstheme="minorHAnsi"/>
          <w:sz w:val="24"/>
          <w:szCs w:val="24"/>
        </w:rPr>
        <w:t>Because a longer post-grazing recovery period should</w:t>
      </w:r>
      <w:r>
        <w:rPr>
          <w:rFonts w:cstheme="minorHAnsi"/>
          <w:sz w:val="24"/>
          <w:szCs w:val="24"/>
        </w:rPr>
        <w:t xml:space="preserve"> allow for recruitment of more species diversity into the above-ground vegetation and surface seed bank</w:t>
      </w:r>
      <w:r w:rsidRPr="001D5F5D">
        <w:rPr>
          <w:rFonts w:cstheme="minorHAnsi"/>
          <w:sz w:val="24"/>
          <w:szCs w:val="24"/>
        </w:rPr>
        <w:t>, we expect composition</w:t>
      </w:r>
      <w:r>
        <w:rPr>
          <w:rFonts w:cstheme="minorHAnsi"/>
          <w:sz w:val="24"/>
          <w:szCs w:val="24"/>
        </w:rPr>
        <w:t xml:space="preserve"> and</w:t>
      </w:r>
      <w:r w:rsidRPr="001D5F5D">
        <w:rPr>
          <w:rFonts w:cstheme="minorHAnsi"/>
          <w:sz w:val="24"/>
          <w:szCs w:val="24"/>
        </w:rPr>
        <w:t xml:space="preserve"> abundance of surface seed banks should closely resemble that of above-ground vegetation in recently disturbed sites</w:t>
      </w:r>
      <w:r>
        <w:rPr>
          <w:rFonts w:cstheme="minorHAnsi"/>
          <w:sz w:val="24"/>
          <w:szCs w:val="24"/>
        </w:rPr>
        <w:t xml:space="preserve"> (e.g., via direct seed rain)</w:t>
      </w:r>
      <w:r w:rsidRPr="001D5F5D">
        <w:rPr>
          <w:rFonts w:cstheme="minorHAnsi"/>
          <w:sz w:val="24"/>
          <w:szCs w:val="24"/>
        </w:rPr>
        <w:t xml:space="preserve"> and become more species-rich and dissimilar from above-ground vegetation </w:t>
      </w:r>
      <w:r>
        <w:rPr>
          <w:rFonts w:cstheme="minorHAnsi"/>
          <w:sz w:val="24"/>
          <w:szCs w:val="24"/>
        </w:rPr>
        <w:t xml:space="preserve">(i.e., via dispersal) </w:t>
      </w:r>
      <w:r w:rsidRPr="001D5F5D">
        <w:rPr>
          <w:rFonts w:cstheme="minorHAnsi"/>
          <w:sz w:val="24"/>
          <w:szCs w:val="24"/>
        </w:rPr>
        <w:t xml:space="preserve">with time since disturbance. </w:t>
      </w:r>
    </w:p>
    <w:p w14:paraId="24C3DFF3" w14:textId="77777777" w:rsidR="00257DF2" w:rsidRPr="00134487" w:rsidRDefault="00257DF2" w:rsidP="007E7955">
      <w:pPr>
        <w:pStyle w:val="Heading1"/>
        <w:numPr>
          <w:ilvl w:val="0"/>
          <w:numId w:val="0"/>
        </w:numPr>
        <w:suppressLineNumbers/>
        <w:spacing w:line="480" w:lineRule="auto"/>
        <w:ind w:left="432" w:hanging="432"/>
      </w:pPr>
      <w:bookmarkStart w:id="1" w:name="_Toc143184231"/>
      <w:r w:rsidRPr="00134487">
        <w:t>Methods</w:t>
      </w:r>
      <w:bookmarkEnd w:id="1"/>
    </w:p>
    <w:p w14:paraId="09732E8B" w14:textId="77777777" w:rsidR="00257DF2" w:rsidRPr="00134487" w:rsidRDefault="00257DF2" w:rsidP="007E7955">
      <w:pPr>
        <w:pStyle w:val="Heading2"/>
        <w:numPr>
          <w:ilvl w:val="0"/>
          <w:numId w:val="0"/>
        </w:numPr>
        <w:spacing w:line="480" w:lineRule="auto"/>
        <w:ind w:left="576" w:hanging="576"/>
      </w:pPr>
      <w:bookmarkStart w:id="2" w:name="_Toc143184232"/>
      <w:r w:rsidRPr="00134487">
        <w:t>Study area &amp; site history</w:t>
      </w:r>
      <w:bookmarkEnd w:id="2"/>
    </w:p>
    <w:p w14:paraId="3802DD4B" w14:textId="2ED92B78" w:rsidR="00257DF2" w:rsidRPr="001D5F5D" w:rsidRDefault="00257DF2" w:rsidP="00042CC9">
      <w:pPr>
        <w:spacing w:line="480" w:lineRule="auto"/>
        <w:rPr>
          <w:rFonts w:cstheme="minorHAnsi"/>
          <w:sz w:val="24"/>
          <w:szCs w:val="24"/>
        </w:rPr>
      </w:pPr>
      <w:r w:rsidRPr="001D5F5D">
        <w:rPr>
          <w:rFonts w:cstheme="minorHAnsi"/>
          <w:sz w:val="24"/>
          <w:szCs w:val="24"/>
        </w:rPr>
        <w:tab/>
        <w:t xml:space="preserve">The Little Qualicum River Estuary (LQRE) and Nanaimo River Estuary (NRE) are situated on the east coast of Vancouver Island along the Strait of Georgia, British Columbia, Canada </w:t>
      </w:r>
      <w:r>
        <w:rPr>
          <w:rFonts w:cstheme="minorHAnsi"/>
          <w:sz w:val="24"/>
          <w:szCs w:val="24"/>
        </w:rPr>
        <w:t>(</w:t>
      </w:r>
      <w:r w:rsidR="00302BFE">
        <w:rPr>
          <w:rFonts w:cstheme="minorHAnsi"/>
          <w:sz w:val="24"/>
          <w:szCs w:val="24"/>
        </w:rPr>
        <w:t>Fig. 1</w:t>
      </w:r>
      <w:r>
        <w:rPr>
          <w:rFonts w:cstheme="minorHAnsi"/>
          <w:sz w:val="24"/>
          <w:szCs w:val="24"/>
        </w:rPr>
        <w:t>),</w:t>
      </w:r>
      <w:r w:rsidRPr="001D5F5D">
        <w:rPr>
          <w:rFonts w:cstheme="minorHAnsi"/>
          <w:sz w:val="24"/>
          <w:szCs w:val="24"/>
        </w:rPr>
        <w:t xml:space="preserve"> and are on the ancestral, unceded territories of Coast Salish Peoples, including the K’ómoks, Snuneymuxw, Qualicum Band, and Nanoose Nations. Prior to European colonial settlement, traditional practices by Indigenous Peoples around the Salish Sea would have included managing estuaries as root gardens to promote the abundance of broadleaf flowering species with starchy roots, rather than the perennial graminoids that competitively dominate the estuaries today </w:t>
      </w:r>
      <w:r w:rsidRPr="00923EE2">
        <w:rPr>
          <w:rFonts w:ascii="Calibri" w:hAnsi="Calibri" w:cs="Calibri"/>
          <w:sz w:val="24"/>
        </w:rPr>
        <w:t>(Turner et al., 2013)</w:t>
      </w:r>
      <w:r w:rsidRPr="001D5F5D">
        <w:rPr>
          <w:rFonts w:cstheme="minorHAnsi"/>
          <w:sz w:val="24"/>
          <w:szCs w:val="24"/>
        </w:rPr>
        <w:t xml:space="preserve">. Colonial settlement of the LQRE began in 1887, with cattle grazing, log booming, and sawmill operations being the chief uses of the estuary until 1974 when 29 ha of the estuary were donated to the Canadian Wildlife Service for conservation purposes, and subsequently designated as a provincially protected Wildlife Management Area </w:t>
      </w:r>
      <w:r w:rsidRPr="001D5F5D">
        <w:rPr>
          <w:rFonts w:cstheme="minorHAnsi"/>
          <w:sz w:val="24"/>
          <w:szCs w:val="24"/>
        </w:rPr>
        <w:lastRenderedPageBreak/>
        <w:t xml:space="preserve">(WMA) in 1993 </w:t>
      </w:r>
      <w:r w:rsidRPr="001D5F5D">
        <w:rPr>
          <w:rFonts w:ascii="Calibri" w:hAnsi="Calibri" w:cs="Calibri"/>
          <w:sz w:val="24"/>
          <w:szCs w:val="24"/>
        </w:rPr>
        <w:t>(Clermont, 2010)</w:t>
      </w:r>
      <w:r w:rsidRPr="001D5F5D">
        <w:rPr>
          <w:rFonts w:cstheme="minorHAnsi"/>
          <w:sz w:val="24"/>
          <w:szCs w:val="24"/>
        </w:rPr>
        <w:t>. The NRE was similarly settled through the late 19</w:t>
      </w:r>
      <w:r w:rsidRPr="001D5F5D">
        <w:rPr>
          <w:rFonts w:cstheme="minorHAnsi"/>
          <w:sz w:val="24"/>
          <w:szCs w:val="24"/>
          <w:vertAlign w:val="superscript"/>
        </w:rPr>
        <w:t>th</w:t>
      </w:r>
      <w:r w:rsidRPr="001D5F5D">
        <w:rPr>
          <w:rFonts w:cstheme="minorHAnsi"/>
          <w:sz w:val="24"/>
          <w:szCs w:val="24"/>
        </w:rPr>
        <w:t xml:space="preserve"> and</w:t>
      </w:r>
      <w:r>
        <w:rPr>
          <w:rFonts w:cstheme="minorHAnsi"/>
          <w:sz w:val="24"/>
          <w:szCs w:val="24"/>
        </w:rPr>
        <w:t xml:space="preserve"> early</w:t>
      </w:r>
      <w:r w:rsidRPr="001D5F5D">
        <w:rPr>
          <w:rFonts w:cstheme="minorHAnsi"/>
          <w:sz w:val="24"/>
          <w:szCs w:val="24"/>
        </w:rPr>
        <w:t xml:space="preserve"> 20</w:t>
      </w:r>
      <w:r w:rsidRPr="001D5F5D">
        <w:rPr>
          <w:rFonts w:cstheme="minorHAnsi"/>
          <w:sz w:val="24"/>
          <w:szCs w:val="24"/>
          <w:vertAlign w:val="superscript"/>
        </w:rPr>
        <w:t>th</w:t>
      </w:r>
      <w:r w:rsidRPr="001D5F5D">
        <w:rPr>
          <w:rFonts w:cstheme="minorHAnsi"/>
          <w:sz w:val="24"/>
          <w:szCs w:val="24"/>
        </w:rPr>
        <w:t xml:space="preserve"> centuries, and heavily augmented through construction of a ferry terminal, logging operations, and coal mining. While the NRE is part of the UNESCO-designated Mount Arrowsmith Biosphere Region and portions fall under conservation management, it is not provincially protected through designation as a WMA. </w:t>
      </w:r>
    </w:p>
    <w:p w14:paraId="60F04CAD" w14:textId="77777777" w:rsidR="00257DF2" w:rsidRPr="008E3500" w:rsidRDefault="00257DF2" w:rsidP="007E7955">
      <w:pPr>
        <w:keepNext/>
        <w:spacing w:line="480" w:lineRule="auto"/>
        <w:jc w:val="center"/>
        <w:rPr>
          <w:rFonts w:cstheme="minorHAnsi"/>
          <w:sz w:val="24"/>
          <w:szCs w:val="24"/>
        </w:rPr>
      </w:pPr>
    </w:p>
    <w:p w14:paraId="7DBA7F28" w14:textId="02CBDFB3" w:rsidR="00257DF2" w:rsidRPr="008E3500" w:rsidRDefault="00F940DB" w:rsidP="007E7955">
      <w:pPr>
        <w:spacing w:line="480" w:lineRule="auto"/>
        <w:rPr>
          <w:rFonts w:cstheme="minorHAnsi"/>
          <w:sz w:val="24"/>
          <w:szCs w:val="24"/>
        </w:rPr>
      </w:pPr>
      <w:bookmarkStart w:id="3" w:name="_Ref123731292"/>
      <w:bookmarkStart w:id="4" w:name="_Toc137735454"/>
      <w:r w:rsidRPr="008E3500">
        <w:rPr>
          <w:rFonts w:cstheme="minorHAnsi"/>
          <w:b/>
          <w:bCs/>
          <w:i/>
          <w:iCs/>
          <w:kern w:val="0"/>
          <w:sz w:val="24"/>
          <w:szCs w:val="24"/>
          <w:lang w:val="en-US"/>
          <w14:ligatures w14:val="none"/>
        </w:rPr>
        <w:t>Fig. 1</w:t>
      </w:r>
      <w:r w:rsidR="00257DF2" w:rsidRPr="008E3500">
        <w:rPr>
          <w:rFonts w:cstheme="minorHAnsi"/>
          <w:i/>
          <w:iCs/>
          <w:kern w:val="0"/>
          <w:sz w:val="24"/>
          <w:szCs w:val="24"/>
          <w:lang w:val="en-US"/>
          <w14:ligatures w14:val="none"/>
        </w:rPr>
        <w:t xml:space="preserve"> The extent of watershed catchments flowing into the Salish Sea (A, outlined in green) spans the US-Canadian border on the Pacific Coast of North America (A, inset). Sampling took place within the polygons outlined in gold dash at the Little Qualicum River Estuary (B) and Nanaimo River Estuary (C) along the southeast coast of Vancouver Island, near the towns of Qualicum Beach and Nanaimo, respectively</w:t>
      </w:r>
      <w:bookmarkEnd w:id="3"/>
      <w:bookmarkEnd w:id="4"/>
      <w:r w:rsidR="008E3500">
        <w:rPr>
          <w:rFonts w:cstheme="minorHAnsi"/>
          <w:i/>
          <w:iCs/>
          <w:kern w:val="0"/>
          <w:sz w:val="24"/>
          <w:szCs w:val="24"/>
          <w:lang w:val="en-US"/>
          <w14:ligatures w14:val="none"/>
        </w:rPr>
        <w:t>.</w:t>
      </w:r>
    </w:p>
    <w:p w14:paraId="76AD1A76" w14:textId="77777777" w:rsidR="00257DF2" w:rsidRPr="008E3500" w:rsidRDefault="00257DF2" w:rsidP="007E7955">
      <w:pPr>
        <w:spacing w:line="480" w:lineRule="auto"/>
        <w:rPr>
          <w:rFonts w:eastAsiaTheme="majorEastAsia" w:cstheme="minorHAnsi"/>
          <w:b/>
          <w:bCs/>
          <w:sz w:val="24"/>
          <w:szCs w:val="24"/>
        </w:rPr>
      </w:pPr>
    </w:p>
    <w:p w14:paraId="69DD27A9" w14:textId="77777777" w:rsidR="00257DF2" w:rsidRPr="00AE25E5" w:rsidRDefault="00257DF2" w:rsidP="007E7955">
      <w:pPr>
        <w:pStyle w:val="Heading2"/>
        <w:numPr>
          <w:ilvl w:val="0"/>
          <w:numId w:val="0"/>
        </w:numPr>
        <w:spacing w:line="480" w:lineRule="auto"/>
        <w:ind w:left="576" w:hanging="576"/>
      </w:pPr>
      <w:bookmarkStart w:id="5" w:name="_Toc143184233"/>
      <w:r w:rsidRPr="00AE25E5">
        <w:t>Goose introduction &amp; grazing exclusion</w:t>
      </w:r>
      <w:bookmarkEnd w:id="5"/>
    </w:p>
    <w:p w14:paraId="644775E7" w14:textId="302E5FC7" w:rsidR="00257DF2" w:rsidRPr="001D5F5D" w:rsidRDefault="00257DF2" w:rsidP="007E7955">
      <w:pPr>
        <w:spacing w:line="480" w:lineRule="auto"/>
        <w:rPr>
          <w:rFonts w:cstheme="minorHAnsi"/>
          <w:sz w:val="24"/>
          <w:szCs w:val="24"/>
        </w:rPr>
      </w:pPr>
      <w:r w:rsidRPr="001D5F5D">
        <w:rPr>
          <w:rFonts w:cstheme="minorHAnsi"/>
          <w:sz w:val="24"/>
          <w:szCs w:val="24"/>
        </w:rPr>
        <w:tab/>
        <w:t>Canada geese (</w:t>
      </w:r>
      <w:r w:rsidRPr="001D5F5D">
        <w:rPr>
          <w:rFonts w:cstheme="minorHAnsi"/>
          <w:i/>
          <w:iCs/>
          <w:sz w:val="24"/>
          <w:szCs w:val="24"/>
        </w:rPr>
        <w:t>Branta canadensis</w:t>
      </w:r>
      <w:r w:rsidRPr="001D5F5D">
        <w:rPr>
          <w:rFonts w:cstheme="minorHAnsi"/>
          <w:sz w:val="24"/>
          <w:szCs w:val="24"/>
        </w:rPr>
        <w:t xml:space="preserve"> spp. </w:t>
      </w:r>
      <w:r w:rsidRPr="001D5F5D">
        <w:rPr>
          <w:rFonts w:cstheme="minorHAnsi"/>
          <w:i/>
          <w:iCs/>
          <w:sz w:val="24"/>
          <w:szCs w:val="24"/>
        </w:rPr>
        <w:t>fulva</w:t>
      </w:r>
      <w:r w:rsidRPr="001D5F5D">
        <w:rPr>
          <w:rFonts w:cstheme="minorHAnsi"/>
          <w:sz w:val="24"/>
          <w:szCs w:val="24"/>
        </w:rPr>
        <w:t xml:space="preserve">) were historically a migratory species to Vancouver Island </w:t>
      </w:r>
      <w:r w:rsidRPr="001D5F5D">
        <w:rPr>
          <w:rFonts w:ascii="Calibri" w:hAnsi="Calibri" w:cs="Calibri"/>
          <w:sz w:val="24"/>
          <w:szCs w:val="24"/>
        </w:rPr>
        <w:t>(Dawe &amp; Stewart, 2010)</w:t>
      </w:r>
      <w:r w:rsidRPr="001D5F5D">
        <w:rPr>
          <w:rFonts w:cstheme="minorHAnsi"/>
          <w:sz w:val="24"/>
          <w:szCs w:val="24"/>
        </w:rPr>
        <w:t>, however in the late 20</w:t>
      </w:r>
      <w:r w:rsidRPr="001D5F5D">
        <w:rPr>
          <w:rFonts w:cstheme="minorHAnsi"/>
          <w:sz w:val="24"/>
          <w:szCs w:val="24"/>
          <w:vertAlign w:val="superscript"/>
        </w:rPr>
        <w:t>th</w:t>
      </w:r>
      <w:r w:rsidRPr="001D5F5D">
        <w:rPr>
          <w:rFonts w:cstheme="minorHAnsi"/>
          <w:sz w:val="24"/>
          <w:szCs w:val="24"/>
        </w:rPr>
        <w:t xml:space="preserve"> century populations from eastern North America were introduced to the island to promote hunting tourism. These populations lost their migratory behavior and have since established resident populations. In the absence of sufficient hunting pressure, these resident populations have grown hyperabundant </w:t>
      </w:r>
      <w:r w:rsidRPr="001D5F5D">
        <w:rPr>
          <w:rFonts w:ascii="Calibri" w:hAnsi="Calibri" w:cs="Calibri"/>
          <w:sz w:val="24"/>
          <w:szCs w:val="24"/>
        </w:rPr>
        <w:t>(Dawe &amp; Stewart, 2010)</w:t>
      </w:r>
      <w:r w:rsidRPr="001D5F5D">
        <w:rPr>
          <w:rFonts w:cstheme="minorHAnsi"/>
          <w:sz w:val="24"/>
          <w:szCs w:val="24"/>
        </w:rPr>
        <w:t xml:space="preserve">. These hyperabundant populations place heavy pressure on estuaries through sustained herbivory and grubbing (the digging and uprooting of plant roots and rhizomes, </w:t>
      </w:r>
      <w:r w:rsidR="00302BFE">
        <w:rPr>
          <w:rFonts w:cstheme="minorHAnsi"/>
          <w:sz w:val="24"/>
          <w:szCs w:val="24"/>
        </w:rPr>
        <w:t>Fig. 2C</w:t>
      </w:r>
      <w:r w:rsidRPr="001D5F5D">
        <w:rPr>
          <w:rFonts w:cstheme="minorHAnsi"/>
          <w:sz w:val="24"/>
          <w:szCs w:val="24"/>
        </w:rPr>
        <w:t xml:space="preserve">), leading to complete loss of above- and below-ground plant </w:t>
      </w:r>
      <w:r w:rsidRPr="001D5F5D">
        <w:rPr>
          <w:rFonts w:cstheme="minorHAnsi"/>
          <w:sz w:val="24"/>
          <w:szCs w:val="24"/>
        </w:rPr>
        <w:lastRenderedPageBreak/>
        <w:t xml:space="preserve">structures, denuded marsh platforms, and subsequent sediment and seed bank loss through erosion. </w:t>
      </w:r>
    </w:p>
    <w:p w14:paraId="24831442" w14:textId="7269D634" w:rsidR="00257DF2" w:rsidRPr="001D5F5D" w:rsidRDefault="00257DF2" w:rsidP="007E7955">
      <w:pPr>
        <w:spacing w:line="480" w:lineRule="auto"/>
        <w:rPr>
          <w:rFonts w:cstheme="minorHAnsi"/>
          <w:sz w:val="24"/>
          <w:szCs w:val="24"/>
        </w:rPr>
      </w:pPr>
      <w:r w:rsidRPr="001D5F5D">
        <w:rPr>
          <w:rFonts w:cstheme="minorHAnsi"/>
          <w:sz w:val="24"/>
          <w:szCs w:val="24"/>
        </w:rPr>
        <w:tab/>
        <w:t xml:space="preserve">Fences or “exclosures” are commonly used to exclude herbivores, including Canada geese, from continued grazing. A history of exclosure construction since 2010 in the LQRE, and recent history of exclosure construction in NRE since 2020 afford the opportunity to develop a </w:t>
      </w:r>
      <w:proofErr w:type="gramStart"/>
      <w:r w:rsidRPr="001D5F5D">
        <w:rPr>
          <w:rFonts w:cstheme="minorHAnsi"/>
          <w:sz w:val="24"/>
          <w:szCs w:val="24"/>
        </w:rPr>
        <w:t>coarse</w:t>
      </w:r>
      <w:proofErr w:type="gramEnd"/>
      <w:r w:rsidRPr="001D5F5D">
        <w:rPr>
          <w:rFonts w:cstheme="minorHAnsi"/>
          <w:sz w:val="24"/>
          <w:szCs w:val="24"/>
        </w:rPr>
        <w:t xml:space="preserve"> chronosequence of recovery at discrete time periods since grazing disturbance, including Grubbed (denuded mudflat), 1-year old exclosures, 10-year old exclosures, and areas that have no known history of grazing by Canada geese (Undisturbed or “reference”)</w:t>
      </w:r>
      <w:r>
        <w:rPr>
          <w:rFonts w:cstheme="minorHAnsi"/>
          <w:sz w:val="24"/>
          <w:szCs w:val="24"/>
        </w:rPr>
        <w:t xml:space="preserve"> (Table 3</w:t>
      </w:r>
      <w:r w:rsidRPr="001D5F5D">
        <w:rPr>
          <w:rFonts w:cstheme="minorHAnsi"/>
          <w:sz w:val="24"/>
          <w:szCs w:val="24"/>
        </w:rPr>
        <w:t>). Exclosures are constructed along the edges of vegetation impacted by grazing activity (</w:t>
      </w:r>
      <w:r w:rsidR="00302BFE">
        <w:rPr>
          <w:rFonts w:cstheme="minorHAnsi"/>
          <w:sz w:val="24"/>
          <w:szCs w:val="24"/>
        </w:rPr>
        <w:t>Fig.</w:t>
      </w:r>
      <w:r>
        <w:rPr>
          <w:rFonts w:cstheme="minorHAnsi"/>
          <w:sz w:val="24"/>
          <w:szCs w:val="24"/>
        </w:rPr>
        <w:t xml:space="preserve"> </w:t>
      </w:r>
      <w:r w:rsidR="00302BFE">
        <w:rPr>
          <w:rFonts w:cstheme="minorHAnsi"/>
          <w:sz w:val="24"/>
          <w:szCs w:val="24"/>
        </w:rPr>
        <w:t>2</w:t>
      </w:r>
      <w:r w:rsidRPr="001D5F5D">
        <w:rPr>
          <w:rFonts w:cstheme="minorHAnsi"/>
          <w:sz w:val="24"/>
          <w:szCs w:val="24"/>
        </w:rPr>
        <w:t>D, E, F), with the rationale that remnant vegetation should recover towards a desired Undisturbed or “reference” condition (</w:t>
      </w:r>
      <w:r w:rsidR="00302BFE">
        <w:rPr>
          <w:rFonts w:cstheme="minorHAnsi"/>
          <w:sz w:val="24"/>
          <w:szCs w:val="24"/>
        </w:rPr>
        <w:t>Fig. 2</w:t>
      </w:r>
      <w:r w:rsidRPr="001D5F5D">
        <w:rPr>
          <w:rFonts w:cstheme="minorHAnsi"/>
          <w:sz w:val="24"/>
          <w:szCs w:val="24"/>
        </w:rPr>
        <w:t>A, B) once grazing pressure is relieved.</w:t>
      </w:r>
    </w:p>
    <w:p w14:paraId="53ACECAF" w14:textId="75266229" w:rsidR="00257DF2" w:rsidRPr="001D5F5D" w:rsidRDefault="00257DF2" w:rsidP="007E7955">
      <w:pPr>
        <w:spacing w:line="480" w:lineRule="auto"/>
        <w:rPr>
          <w:rFonts w:cstheme="minorHAnsi"/>
          <w:sz w:val="24"/>
          <w:szCs w:val="24"/>
        </w:rPr>
      </w:pPr>
    </w:p>
    <w:p w14:paraId="2C00E512" w14:textId="2520A469" w:rsidR="00257DF2" w:rsidRPr="008E3500" w:rsidRDefault="00F940DB" w:rsidP="007E7955">
      <w:pPr>
        <w:spacing w:line="480" w:lineRule="auto"/>
        <w:rPr>
          <w:rFonts w:cstheme="minorHAnsi"/>
          <w:i/>
          <w:sz w:val="24"/>
          <w:szCs w:val="24"/>
        </w:rPr>
      </w:pPr>
      <w:bookmarkStart w:id="6" w:name="_Ref136251546"/>
      <w:bookmarkStart w:id="7" w:name="_Toc137735455"/>
      <w:r w:rsidRPr="008E3500">
        <w:rPr>
          <w:b/>
          <w:bCs/>
          <w:iCs/>
          <w:kern w:val="0"/>
          <w:sz w:val="24"/>
          <w:szCs w:val="24"/>
          <w:lang w:val="en-US"/>
          <w14:ligatures w14:val="none"/>
        </w:rPr>
        <w:t>Fig. 2</w:t>
      </w:r>
      <w:r w:rsidR="00257DF2" w:rsidRPr="008E3500">
        <w:rPr>
          <w:iCs/>
          <w:kern w:val="0"/>
          <w:sz w:val="24"/>
          <w:szCs w:val="24"/>
          <w:lang w:val="en-US"/>
          <w14:ligatures w14:val="none"/>
        </w:rPr>
        <w:t xml:space="preserve"> </w:t>
      </w:r>
      <w:r w:rsidR="00257DF2" w:rsidRPr="008E3500">
        <w:rPr>
          <w:i/>
          <w:kern w:val="0"/>
          <w:sz w:val="24"/>
          <w:szCs w:val="24"/>
          <w:lang w:val="en-US"/>
          <w14:ligatures w14:val="none"/>
        </w:rPr>
        <w:t>Reference vegetation for this study was defined as areas with no known grazing disturbance and dominated by native species, including Carex lyngbyei in the Little Qualicum River Estuary (A), and Juncus balticus or Deschampsia caespitosa in the Nanaimo River Estuary (B). Intensive grubbing (C) by Canada geese (Branta canadensis) removes rhizomes and contributes to sediment loss, resulting in large areas of bare or “denuded” mudflat (D). Exclosures were constructed around the edges of these grubbed/grazed areas to promote vegetation recovery in 2010 in the Little Qualicum River Estuary (E) and Nanaimo River Estuary in 2020 (F). Photo credits (A) D. Clermont, 2021, (B) S. Lane, 2021, (C) G. Fairbrother, date unknown, (D) G. Ashley, 2021, (E) N. Dawe, 2011, (F) T. Clermont, 2020</w:t>
      </w:r>
      <w:bookmarkEnd w:id="6"/>
      <w:bookmarkEnd w:id="7"/>
    </w:p>
    <w:p w14:paraId="3960A1CE" w14:textId="77777777" w:rsidR="00257DF2" w:rsidRPr="008E3500" w:rsidRDefault="00257DF2" w:rsidP="007E7955">
      <w:pPr>
        <w:pStyle w:val="Caption"/>
        <w:keepNext/>
        <w:spacing w:line="480" w:lineRule="auto"/>
        <w:rPr>
          <w:rFonts w:cstheme="minorHAnsi"/>
          <w:color w:val="auto"/>
          <w:sz w:val="24"/>
          <w:szCs w:val="24"/>
        </w:rPr>
      </w:pPr>
    </w:p>
    <w:p w14:paraId="4B2C3380" w14:textId="02082E2B" w:rsidR="00257DF2" w:rsidRPr="008E3500" w:rsidRDefault="00257DF2" w:rsidP="007E7955">
      <w:pPr>
        <w:spacing w:line="480" w:lineRule="auto"/>
        <w:rPr>
          <w:rFonts w:cstheme="minorHAnsi"/>
          <w:sz w:val="24"/>
          <w:szCs w:val="24"/>
        </w:rPr>
      </w:pPr>
      <w:bookmarkStart w:id="8" w:name="_Ref136251494"/>
      <w:bookmarkStart w:id="9" w:name="_Toc137735621"/>
      <w:r w:rsidRPr="008E3500">
        <w:rPr>
          <w:rFonts w:cstheme="minorHAnsi"/>
          <w:b/>
          <w:bCs/>
          <w:iCs/>
          <w:kern w:val="0"/>
          <w:sz w:val="24"/>
          <w:szCs w:val="24"/>
          <w:lang w:val="en-US"/>
          <w14:ligatures w14:val="none"/>
        </w:rPr>
        <w:t>Table 3</w:t>
      </w:r>
      <w:r w:rsidRPr="008E3500">
        <w:rPr>
          <w:rFonts w:cstheme="minorHAnsi"/>
          <w:iCs/>
          <w:kern w:val="0"/>
          <w:sz w:val="24"/>
          <w:szCs w:val="24"/>
          <w:lang w:val="en-US"/>
          <w14:ligatures w14:val="none"/>
        </w:rPr>
        <w:t xml:space="preserve"> </w:t>
      </w:r>
      <w:r w:rsidRPr="008E3500">
        <w:rPr>
          <w:rFonts w:cstheme="minorHAnsi"/>
          <w:i/>
          <w:kern w:val="0"/>
          <w:sz w:val="24"/>
          <w:szCs w:val="24"/>
          <w:lang w:val="en-US"/>
          <w14:ligatures w14:val="none"/>
        </w:rPr>
        <w:t>Grazing disturbance conditions in the Little Qualicum River and Nanaimo Estuaries resulted in conversion of vegetated marsh to partially or fully grubbed mudflats; exclosures were installed to prevent further degradation into the marsh platform. We sampled n = 4 sites in each estuary, with two 1 m2 vegetation plots per site, and two surface seed bank samples per plot.</w:t>
      </w:r>
      <w:r w:rsidRPr="008E3500">
        <w:rPr>
          <w:rFonts w:cstheme="minorHAnsi"/>
          <w:iCs/>
          <w:kern w:val="0"/>
          <w:sz w:val="24"/>
          <w:szCs w:val="24"/>
          <w:lang w:val="en-US"/>
          <w14:ligatures w14:val="none"/>
        </w:rPr>
        <w:t xml:space="preserve"> </w:t>
      </w:r>
      <w:bookmarkEnd w:id="8"/>
      <w:bookmarkEnd w:id="9"/>
    </w:p>
    <w:tbl>
      <w:tblPr>
        <w:tblW w:w="7640" w:type="dxa"/>
        <w:jc w:val="center"/>
        <w:tblCellMar>
          <w:left w:w="0" w:type="dxa"/>
          <w:right w:w="0" w:type="dxa"/>
        </w:tblCellMar>
        <w:tblLook w:val="04A0" w:firstRow="1" w:lastRow="0" w:firstColumn="1" w:lastColumn="0" w:noHBand="0" w:noVBand="1"/>
      </w:tblPr>
      <w:tblGrid>
        <w:gridCol w:w="1380"/>
        <w:gridCol w:w="1692"/>
        <w:gridCol w:w="1285"/>
        <w:gridCol w:w="1152"/>
        <w:gridCol w:w="1088"/>
        <w:gridCol w:w="1043"/>
      </w:tblGrid>
      <w:tr w:rsidR="00257DF2" w:rsidRPr="001D5F5D" w14:paraId="3726B108" w14:textId="77777777" w:rsidTr="0002389B">
        <w:trPr>
          <w:trHeight w:val="1164"/>
          <w:jc w:val="center"/>
        </w:trPr>
        <w:tc>
          <w:tcPr>
            <w:tcW w:w="152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79C0A344"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 xml:space="preserve">Estuary </w:t>
            </w:r>
          </w:p>
        </w:tc>
        <w:tc>
          <w:tcPr>
            <w:tcW w:w="146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6E446BE0"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Time Since Disturbance</w:t>
            </w:r>
          </w:p>
        </w:tc>
        <w:tc>
          <w:tcPr>
            <w:tcW w:w="130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51EB5A19"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Disturbance condition</w:t>
            </w:r>
          </w:p>
        </w:tc>
        <w:tc>
          <w:tcPr>
            <w:tcW w:w="118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4CEC564F"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 xml:space="preserve">Protected by exclosure? </w:t>
            </w:r>
          </w:p>
        </w:tc>
        <w:tc>
          <w:tcPr>
            <w:tcW w:w="106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21B7FDC0"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Total vegetation plots</w:t>
            </w:r>
          </w:p>
        </w:tc>
        <w:tc>
          <w:tcPr>
            <w:tcW w:w="1120" w:type="dxa"/>
            <w:tcBorders>
              <w:top w:val="single" w:sz="4" w:space="0" w:color="auto"/>
              <w:left w:val="nil"/>
              <w:bottom w:val="single" w:sz="8" w:space="0" w:color="auto"/>
              <w:right w:val="nil"/>
            </w:tcBorders>
            <w:shd w:val="clear" w:color="auto" w:fill="auto"/>
            <w:tcMar>
              <w:top w:w="15" w:type="dxa"/>
              <w:left w:w="15" w:type="dxa"/>
              <w:bottom w:w="0" w:type="dxa"/>
              <w:right w:w="15" w:type="dxa"/>
            </w:tcMar>
            <w:vAlign w:val="center"/>
            <w:hideMark/>
          </w:tcPr>
          <w:p w14:paraId="2A8E7B8E" w14:textId="77777777" w:rsidR="00257DF2" w:rsidRPr="001D5F5D" w:rsidRDefault="00257DF2" w:rsidP="00042CC9">
            <w:pPr>
              <w:spacing w:line="240" w:lineRule="auto"/>
              <w:jc w:val="center"/>
              <w:rPr>
                <w:rFonts w:ascii="Calibri" w:hAnsi="Calibri" w:cs="Calibri"/>
                <w:b/>
                <w:bCs/>
                <w:color w:val="000000"/>
                <w:sz w:val="24"/>
                <w:szCs w:val="24"/>
              </w:rPr>
            </w:pPr>
            <w:r w:rsidRPr="001D5F5D">
              <w:rPr>
                <w:rFonts w:ascii="Calibri" w:hAnsi="Calibri" w:cs="Calibri"/>
                <w:b/>
                <w:bCs/>
                <w:color w:val="000000"/>
                <w:sz w:val="24"/>
                <w:szCs w:val="24"/>
              </w:rPr>
              <w:t>Total surface seed bank samples</w:t>
            </w:r>
          </w:p>
        </w:tc>
      </w:tr>
      <w:tr w:rsidR="00257DF2" w:rsidRPr="001D5F5D" w14:paraId="2E9532C5" w14:textId="77777777" w:rsidTr="0002389B">
        <w:trPr>
          <w:trHeight w:val="864"/>
          <w:jc w:val="center"/>
        </w:trPr>
        <w:tc>
          <w:tcPr>
            <w:tcW w:w="152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624D75"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 Nanaimo</w:t>
            </w:r>
          </w:p>
        </w:tc>
        <w:tc>
          <w:tcPr>
            <w:tcW w:w="146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0425B44"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0 years</w:t>
            </w:r>
          </w:p>
        </w:tc>
        <w:tc>
          <w:tcPr>
            <w:tcW w:w="130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CB430C5"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Actively grazed and grubbed</w:t>
            </w:r>
          </w:p>
        </w:tc>
        <w:tc>
          <w:tcPr>
            <w:tcW w:w="11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7BFD32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51453FD"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E6DC1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32</w:t>
            </w:r>
          </w:p>
        </w:tc>
      </w:tr>
      <w:tr w:rsidR="00257DF2" w:rsidRPr="001D5F5D" w14:paraId="21F676CD" w14:textId="77777777" w:rsidTr="0002389B">
        <w:trPr>
          <w:trHeight w:val="1152"/>
          <w:jc w:val="center"/>
        </w:trPr>
        <w:tc>
          <w:tcPr>
            <w:tcW w:w="1520" w:type="dxa"/>
            <w:tcBorders>
              <w:top w:val="nil"/>
              <w:left w:val="nil"/>
              <w:bottom w:val="nil"/>
              <w:right w:val="nil"/>
            </w:tcBorders>
            <w:shd w:val="clear" w:color="auto" w:fill="auto"/>
            <w:tcMar>
              <w:top w:w="15" w:type="dxa"/>
              <w:left w:w="15" w:type="dxa"/>
              <w:bottom w:w="0" w:type="dxa"/>
              <w:right w:w="15" w:type="dxa"/>
            </w:tcMar>
            <w:vAlign w:val="center"/>
            <w:hideMark/>
          </w:tcPr>
          <w:p w14:paraId="2CC98B0E"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Nanaimo</w:t>
            </w:r>
          </w:p>
        </w:tc>
        <w:tc>
          <w:tcPr>
            <w:tcW w:w="1460" w:type="dxa"/>
            <w:tcBorders>
              <w:top w:val="nil"/>
              <w:left w:val="nil"/>
              <w:bottom w:val="nil"/>
              <w:right w:val="nil"/>
            </w:tcBorders>
            <w:shd w:val="clear" w:color="auto" w:fill="auto"/>
            <w:tcMar>
              <w:top w:w="15" w:type="dxa"/>
              <w:left w:w="15" w:type="dxa"/>
              <w:bottom w:w="0" w:type="dxa"/>
              <w:right w:w="15" w:type="dxa"/>
            </w:tcMar>
            <w:vAlign w:val="center"/>
            <w:hideMark/>
          </w:tcPr>
          <w:p w14:paraId="4AE8699C"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1-year post-grazing/grubbing disturbance</w:t>
            </w: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5128512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Recovering</w:t>
            </w:r>
          </w:p>
        </w:tc>
        <w:tc>
          <w:tcPr>
            <w:tcW w:w="1180" w:type="dxa"/>
            <w:tcBorders>
              <w:top w:val="nil"/>
              <w:left w:val="nil"/>
              <w:bottom w:val="nil"/>
              <w:right w:val="nil"/>
            </w:tcBorders>
            <w:shd w:val="clear" w:color="auto" w:fill="auto"/>
            <w:tcMar>
              <w:top w:w="15" w:type="dxa"/>
              <w:left w:w="15" w:type="dxa"/>
              <w:bottom w:w="0" w:type="dxa"/>
              <w:right w:w="15" w:type="dxa"/>
            </w:tcMar>
            <w:vAlign w:val="center"/>
            <w:hideMark/>
          </w:tcPr>
          <w:p w14:paraId="12BD0F1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Yes</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F8D6B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A524A3A"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r>
      <w:tr w:rsidR="00257DF2" w:rsidRPr="001D5F5D" w14:paraId="28582D5F" w14:textId="77777777" w:rsidTr="0002389B">
        <w:trPr>
          <w:trHeight w:val="1152"/>
          <w:jc w:val="center"/>
        </w:trPr>
        <w:tc>
          <w:tcPr>
            <w:tcW w:w="15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0738674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w:t>
            </w:r>
          </w:p>
        </w:tc>
        <w:tc>
          <w:tcPr>
            <w:tcW w:w="146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19DDAE6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10 years post-grazing/grubbing disturbance</w:t>
            </w:r>
          </w:p>
        </w:tc>
        <w:tc>
          <w:tcPr>
            <w:tcW w:w="130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6877BEEA"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Recovering</w:t>
            </w:r>
          </w:p>
        </w:tc>
        <w:tc>
          <w:tcPr>
            <w:tcW w:w="118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hideMark/>
          </w:tcPr>
          <w:p w14:paraId="54E404A0"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Yes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4A92645D"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8</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6D210F6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r>
      <w:tr w:rsidR="00257DF2" w:rsidRPr="001D5F5D" w14:paraId="188AD877" w14:textId="77777777" w:rsidTr="0002389B">
        <w:trPr>
          <w:trHeight w:val="849"/>
          <w:jc w:val="center"/>
        </w:trPr>
        <w:tc>
          <w:tcPr>
            <w:tcW w:w="152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9D1584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Little Qualicum, Nanaimo</w:t>
            </w:r>
          </w:p>
        </w:tc>
        <w:tc>
          <w:tcPr>
            <w:tcW w:w="146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F344933"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 known grazing/grubbing disturbance</w:t>
            </w:r>
          </w:p>
        </w:tc>
        <w:tc>
          <w:tcPr>
            <w:tcW w:w="130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3E90637"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Undisturbed</w:t>
            </w:r>
          </w:p>
        </w:tc>
        <w:tc>
          <w:tcPr>
            <w:tcW w:w="11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DA039E8"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No</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6DA4F86"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16</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029A424" w14:textId="77777777" w:rsidR="00257DF2" w:rsidRPr="001D5F5D" w:rsidRDefault="00257DF2" w:rsidP="00042CC9">
            <w:pPr>
              <w:spacing w:line="240" w:lineRule="auto"/>
              <w:jc w:val="center"/>
              <w:rPr>
                <w:rFonts w:ascii="Calibri" w:hAnsi="Calibri" w:cs="Calibri"/>
                <w:color w:val="000000"/>
                <w:sz w:val="24"/>
                <w:szCs w:val="24"/>
              </w:rPr>
            </w:pPr>
            <w:r w:rsidRPr="001D5F5D">
              <w:rPr>
                <w:rFonts w:ascii="Calibri" w:hAnsi="Calibri" w:cs="Calibri"/>
                <w:color w:val="000000"/>
                <w:sz w:val="24"/>
                <w:szCs w:val="24"/>
              </w:rPr>
              <w:t>32</w:t>
            </w:r>
          </w:p>
        </w:tc>
      </w:tr>
      <w:tr w:rsidR="00257DF2" w:rsidRPr="001D5F5D" w14:paraId="060A9C7A" w14:textId="77777777" w:rsidTr="0002389B">
        <w:trPr>
          <w:trHeight w:val="849"/>
          <w:jc w:val="center"/>
        </w:trPr>
        <w:tc>
          <w:tcPr>
            <w:tcW w:w="15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219F097A"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Total</w:t>
            </w:r>
          </w:p>
        </w:tc>
        <w:tc>
          <w:tcPr>
            <w:tcW w:w="146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6D3B424B" w14:textId="77777777" w:rsidR="00257DF2" w:rsidRPr="001D5F5D" w:rsidRDefault="00257DF2" w:rsidP="00042CC9">
            <w:pPr>
              <w:spacing w:line="240" w:lineRule="auto"/>
              <w:jc w:val="center"/>
              <w:rPr>
                <w:rFonts w:ascii="Calibri" w:hAnsi="Calibri" w:cs="Calibri"/>
                <w:color w:val="000000"/>
                <w:sz w:val="24"/>
                <w:szCs w:val="24"/>
              </w:rPr>
            </w:pPr>
          </w:p>
        </w:tc>
        <w:tc>
          <w:tcPr>
            <w:tcW w:w="130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156B2133" w14:textId="77777777" w:rsidR="00257DF2" w:rsidRPr="001D5F5D" w:rsidRDefault="00257DF2" w:rsidP="00042CC9">
            <w:pPr>
              <w:spacing w:line="240" w:lineRule="auto"/>
              <w:jc w:val="center"/>
              <w:rPr>
                <w:rFonts w:ascii="Calibri" w:hAnsi="Calibri" w:cs="Calibri"/>
                <w:color w:val="000000"/>
                <w:sz w:val="24"/>
                <w:szCs w:val="24"/>
              </w:rPr>
            </w:pPr>
          </w:p>
        </w:tc>
        <w:tc>
          <w:tcPr>
            <w:tcW w:w="118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center"/>
          </w:tcPr>
          <w:p w14:paraId="49E54F02" w14:textId="77777777" w:rsidR="00257DF2" w:rsidRPr="001D5F5D" w:rsidRDefault="00257DF2" w:rsidP="00042CC9">
            <w:pPr>
              <w:spacing w:line="240" w:lineRule="auto"/>
              <w:jc w:val="center"/>
              <w:rPr>
                <w:rFonts w:ascii="Calibri" w:hAnsi="Calibri" w:cs="Calibri"/>
                <w:color w:val="000000"/>
                <w:sz w:val="24"/>
                <w:szCs w:val="24"/>
              </w:rPr>
            </w:pP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14:paraId="7D14E361"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48</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tcPr>
          <w:p w14:paraId="2563F068" w14:textId="77777777" w:rsidR="00257DF2" w:rsidRPr="001D5F5D" w:rsidRDefault="00257DF2" w:rsidP="00042CC9">
            <w:pPr>
              <w:spacing w:line="240" w:lineRule="auto"/>
              <w:jc w:val="center"/>
              <w:rPr>
                <w:rFonts w:ascii="Calibri" w:hAnsi="Calibri" w:cs="Calibri"/>
                <w:color w:val="000000"/>
                <w:sz w:val="24"/>
                <w:szCs w:val="24"/>
              </w:rPr>
            </w:pPr>
            <w:r>
              <w:rPr>
                <w:rFonts w:ascii="Calibri" w:hAnsi="Calibri" w:cs="Calibri"/>
                <w:color w:val="000000"/>
                <w:sz w:val="24"/>
                <w:szCs w:val="24"/>
              </w:rPr>
              <w:t>96</w:t>
            </w:r>
          </w:p>
        </w:tc>
      </w:tr>
    </w:tbl>
    <w:p w14:paraId="6021ADDD" w14:textId="77777777" w:rsidR="00257DF2" w:rsidRPr="001D5F5D" w:rsidRDefault="00257DF2" w:rsidP="007E7955">
      <w:pPr>
        <w:spacing w:line="480" w:lineRule="auto"/>
        <w:rPr>
          <w:rFonts w:eastAsiaTheme="majorEastAsia" w:cstheme="minorHAnsi"/>
          <w:color w:val="2F5496" w:themeColor="accent1" w:themeShade="BF"/>
          <w:sz w:val="24"/>
          <w:szCs w:val="24"/>
        </w:rPr>
      </w:pPr>
      <w:r w:rsidRPr="001D5F5D">
        <w:rPr>
          <w:rFonts w:cstheme="minorHAnsi"/>
          <w:sz w:val="24"/>
          <w:szCs w:val="24"/>
        </w:rPr>
        <w:t xml:space="preserve"> </w:t>
      </w:r>
      <w:r w:rsidRPr="001D5F5D">
        <w:rPr>
          <w:rFonts w:cstheme="minorHAnsi"/>
          <w:sz w:val="24"/>
          <w:szCs w:val="24"/>
        </w:rPr>
        <w:br w:type="page"/>
      </w:r>
    </w:p>
    <w:p w14:paraId="0717E44F" w14:textId="77777777" w:rsidR="00257DF2" w:rsidRPr="00450EB6" w:rsidRDefault="00257DF2" w:rsidP="007E7955">
      <w:pPr>
        <w:pStyle w:val="Heading2"/>
        <w:numPr>
          <w:ilvl w:val="0"/>
          <w:numId w:val="0"/>
        </w:numPr>
        <w:spacing w:line="480" w:lineRule="auto"/>
        <w:ind w:left="576" w:hanging="576"/>
      </w:pPr>
      <w:bookmarkStart w:id="10" w:name="_Toc143184234"/>
      <w:r w:rsidRPr="00450EB6">
        <w:lastRenderedPageBreak/>
        <w:t>Vegetation sampling</w:t>
      </w:r>
      <w:bookmarkEnd w:id="10"/>
    </w:p>
    <w:p w14:paraId="3A9E6931"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Above-ground vegetation </w:t>
      </w:r>
      <w:proofErr w:type="gramStart"/>
      <w:r w:rsidRPr="001D5F5D">
        <w:rPr>
          <w:rFonts w:cstheme="minorHAnsi"/>
          <w:sz w:val="24"/>
          <w:szCs w:val="24"/>
        </w:rPr>
        <w:t>were</w:t>
      </w:r>
      <w:proofErr w:type="gramEnd"/>
      <w:r w:rsidRPr="001D5F5D">
        <w:rPr>
          <w:rFonts w:cstheme="minorHAnsi"/>
          <w:sz w:val="24"/>
          <w:szCs w:val="24"/>
        </w:rPr>
        <w:t xml:space="preserve"> surveyed </w:t>
      </w:r>
      <w:r>
        <w:rPr>
          <w:rFonts w:cstheme="minorHAnsi"/>
          <w:sz w:val="24"/>
          <w:szCs w:val="24"/>
        </w:rPr>
        <w:t xml:space="preserve">across all vegetation plots (Table 3) </w:t>
      </w:r>
      <w:r w:rsidRPr="001D5F5D">
        <w:rPr>
          <w:rFonts w:cstheme="minorHAnsi"/>
          <w:sz w:val="24"/>
          <w:szCs w:val="24"/>
        </w:rPr>
        <w:t>once in mid-July, 2021. Two 1 m</w:t>
      </w:r>
      <w:r w:rsidRPr="001D5F5D">
        <w:rPr>
          <w:rFonts w:cstheme="minorHAnsi"/>
          <w:sz w:val="24"/>
          <w:szCs w:val="24"/>
          <w:vertAlign w:val="superscript"/>
        </w:rPr>
        <w:t>2</w:t>
      </w:r>
      <w:r w:rsidRPr="001D5F5D">
        <w:rPr>
          <w:rFonts w:cstheme="minorHAnsi"/>
          <w:sz w:val="24"/>
          <w:szCs w:val="24"/>
        </w:rPr>
        <w:t xml:space="preserve"> vegetation plots were placed within the exclosures (“sites,” n = 4 per disturbance condition in each estuary, </w:t>
      </w:r>
      <w:r>
        <w:rPr>
          <w:rFonts w:cstheme="minorHAnsi"/>
          <w:sz w:val="24"/>
          <w:szCs w:val="24"/>
        </w:rPr>
        <w:t>Table 3</w:t>
      </w:r>
      <w:r w:rsidRPr="001D5F5D">
        <w:rPr>
          <w:rFonts w:cstheme="minorHAnsi"/>
          <w:sz w:val="24"/>
          <w:szCs w:val="24"/>
        </w:rPr>
        <w:t xml:space="preserve">), at least 1 m from the bank edge and any exclosure boundary, and at least 3 m apart within the exclosure. Quadrats were placed so that the plot edge nearest creek was parallel to the bank. </w:t>
      </w:r>
    </w:p>
    <w:p w14:paraId="6A364302"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All vascular species were identified </w:t>
      </w:r>
      <w:proofErr w:type="gramStart"/>
      <w:r w:rsidRPr="001D5F5D">
        <w:rPr>
          <w:rFonts w:cstheme="minorHAnsi"/>
          <w:sz w:val="24"/>
          <w:szCs w:val="24"/>
        </w:rPr>
        <w:t>according</w:t>
      </w:r>
      <w:proofErr w:type="gramEnd"/>
      <w:r w:rsidRPr="001D5F5D">
        <w:rPr>
          <w:rFonts w:cstheme="minorHAnsi"/>
          <w:sz w:val="24"/>
          <w:szCs w:val="24"/>
        </w:rPr>
        <w:t xml:space="preserve"> Hitchcock and Cronquist (2018). Species were considered in the plot if at least half of their basal stem(s) were inside the quadrat boundary; overhanging vegetation originating from basal stems outside the plot was not considered. Aerial vegetated cover was estimated to the nearest 3 % (1/32 m</w:t>
      </w:r>
      <w:r w:rsidRPr="001D5F5D">
        <w:rPr>
          <w:rFonts w:cstheme="minorHAnsi"/>
          <w:sz w:val="24"/>
          <w:szCs w:val="24"/>
          <w:vertAlign w:val="superscript"/>
        </w:rPr>
        <w:t>2</w:t>
      </w:r>
      <w:r w:rsidRPr="001D5F5D">
        <w:rPr>
          <w:rFonts w:cstheme="minorHAnsi"/>
          <w:sz w:val="24"/>
          <w:szCs w:val="24"/>
        </w:rPr>
        <w:t xml:space="preserve">). For any species present with less than 3 % cover, species were assigned 2 % cover if &gt; 20 individuals were present, 1 % cover if 2-20 individuals were present, and 0.1% cover for single individuals. Bare ground was estimated as the remainder of the plot area not covered by above-ground vegetation. Any plots with &gt; 100 % cover were standardized relative to 100 % to allow for comparison across plots and to constrain values to fit statistical distributions. To characterize plant structure, all species were assigned to a height category tall (&gt; 1 m), medium (50-100 cm), or short (&lt; 50 cm) based on their maximum reported height in the Illustrated Flora of British Columbia </w:t>
      </w:r>
      <w:r w:rsidRPr="00923EE2">
        <w:rPr>
          <w:rFonts w:ascii="Calibri" w:hAnsi="Calibri" w:cs="Calibri"/>
          <w:sz w:val="24"/>
        </w:rPr>
        <w:t>(Douglas et al., 1998)</w:t>
      </w:r>
      <w:r w:rsidRPr="001D5F5D">
        <w:rPr>
          <w:rFonts w:cstheme="minorHAnsi"/>
          <w:sz w:val="24"/>
          <w:szCs w:val="24"/>
        </w:rPr>
        <w:t xml:space="preserve">. Our key species of interest, tall perennial graminoids (TPGs), were defined as any grass (Poaceae), sedge (Cyperaceae), or rush (Juncaceae) with a biennial or perennial life history and mature height of at least 1 m. </w:t>
      </w:r>
    </w:p>
    <w:p w14:paraId="3EB58522" w14:textId="77777777" w:rsidR="00257DF2" w:rsidRPr="00450EB6" w:rsidRDefault="00257DF2" w:rsidP="007E7955">
      <w:pPr>
        <w:pStyle w:val="Heading2"/>
        <w:numPr>
          <w:ilvl w:val="0"/>
          <w:numId w:val="0"/>
        </w:numPr>
        <w:spacing w:line="480" w:lineRule="auto"/>
        <w:ind w:left="576" w:hanging="576"/>
      </w:pPr>
      <w:bookmarkStart w:id="11" w:name="_Toc143184235"/>
      <w:r w:rsidRPr="00450EB6">
        <w:lastRenderedPageBreak/>
        <w:t>Surface seed bank sampling &amp; germination</w:t>
      </w:r>
      <w:bookmarkEnd w:id="11"/>
      <w:r w:rsidRPr="00450EB6">
        <w:t xml:space="preserve"> </w:t>
      </w:r>
    </w:p>
    <w:p w14:paraId="54C14849"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Two surface seed bank samples were taken from each plot (n = 16 per disturbance condition in each estuary,</w:t>
      </w:r>
      <w:r>
        <w:rPr>
          <w:rFonts w:cstheme="minorHAnsi"/>
          <w:sz w:val="24"/>
          <w:szCs w:val="24"/>
        </w:rPr>
        <w:t xml:space="preserve"> Table 3</w:t>
      </w:r>
      <w:r w:rsidRPr="001D5F5D">
        <w:rPr>
          <w:rFonts w:cstheme="minorHAnsi"/>
          <w:sz w:val="24"/>
          <w:szCs w:val="24"/>
        </w:rPr>
        <w:t>) in summer (July 2020), fall (October 2020), and spring (March 2021). A 10 cm diameter handheld bulb planter (e.g., Husky 9 in. stainless Steel Bulb Planter, Home Depot, USA) was used to excise sediment 1 cm deep to capture the most recent seeds deposited into the marsh sediment, which we call the “surface seed bank.” Vegetative roots, rhizomes, or other viable rooted material were removed before placing sample in a plastic zipper bag. All surface seed bank samples from the same estuary and disturbance condition were then homogenized in a clean bucket with 100 mL dechlorinated water. Samples were hand-sifted for any remaining root, rhizome, or vegetative material, then the homogenized sample was transferred to a clean plastic zipper bag. Summer and fall 2020 samples were stored at 4</w:t>
      </w:r>
      <w:r w:rsidRPr="001D5F5D">
        <w:rPr>
          <w:rFonts w:cstheme="minorHAnsi"/>
          <w:sz w:val="24"/>
          <w:szCs w:val="24"/>
          <w:vertAlign w:val="superscript"/>
        </w:rPr>
        <w:t>o</w:t>
      </w:r>
      <w:r w:rsidRPr="001D5F5D">
        <w:rPr>
          <w:rFonts w:cstheme="minorHAnsi"/>
          <w:sz w:val="24"/>
          <w:szCs w:val="24"/>
        </w:rPr>
        <w:t xml:space="preserve"> C for approx. 12 weeks to simulate overwinter cold stratification to release seed dormancy </w:t>
      </w:r>
      <w:r w:rsidRPr="001D5F5D">
        <w:rPr>
          <w:rFonts w:ascii="Calibri" w:hAnsi="Calibri" w:cs="Calibri"/>
          <w:sz w:val="24"/>
          <w:szCs w:val="24"/>
        </w:rPr>
        <w:t>(</w:t>
      </w:r>
      <w:proofErr w:type="spellStart"/>
      <w:r w:rsidRPr="001D5F5D">
        <w:rPr>
          <w:rFonts w:ascii="Calibri" w:hAnsi="Calibri" w:cs="Calibri"/>
          <w:sz w:val="24"/>
          <w:szCs w:val="24"/>
        </w:rPr>
        <w:t>Rosbakh</w:t>
      </w:r>
      <w:proofErr w:type="spellEnd"/>
      <w:r w:rsidRPr="001D5F5D">
        <w:rPr>
          <w:rFonts w:ascii="Calibri" w:hAnsi="Calibri" w:cs="Calibri"/>
          <w:sz w:val="24"/>
          <w:szCs w:val="24"/>
        </w:rPr>
        <w:t xml:space="preserve"> et al., 2019)</w:t>
      </w:r>
      <w:r w:rsidRPr="001D5F5D">
        <w:rPr>
          <w:rFonts w:cstheme="minorHAnsi"/>
          <w:sz w:val="24"/>
          <w:szCs w:val="24"/>
        </w:rPr>
        <w:t xml:space="preserve">; samples collected in the spring of 2021 underwent natural winter conditions within the estuaries and were not subjected to cold stratification. </w:t>
      </w:r>
    </w:p>
    <w:p w14:paraId="15FEF7AE"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Germination trials were conducted under greenhouse conditions with 15 hr. daylength at ~ 20</w:t>
      </w:r>
      <w:r w:rsidRPr="001D5F5D">
        <w:rPr>
          <w:rFonts w:cstheme="minorHAnsi"/>
          <w:sz w:val="24"/>
          <w:szCs w:val="24"/>
          <w:vertAlign w:val="superscript"/>
        </w:rPr>
        <w:t>o</w:t>
      </w:r>
      <w:r w:rsidRPr="001D5F5D">
        <w:rPr>
          <w:rFonts w:cstheme="minorHAnsi"/>
          <w:sz w:val="24"/>
          <w:szCs w:val="24"/>
        </w:rPr>
        <w:t xml:space="preserve"> C. Seedling pots (9 cm x 13 cm x 5.7 cm (depth)) were filled with moist, sterile potting media (Sunshine Mix No. 4, Sun Gro Horticulture, Agawam, MA, United States). Pots were placed in solid cache trays and constantly bottom-watered with municipal tap water. Seeds were sown by adding 75 mL of sampled sediments to the top of each seedling pot (n = 8 per estuary and disturbance condition) while constantly agitating the homogenized seed bank sample to prevent seeds from settling to the bottom of the sediment mixture. Seeds were allowed to germinate for 5 weeks, at which time all individuals were identified, </w:t>
      </w:r>
      <w:proofErr w:type="gramStart"/>
      <w:r w:rsidRPr="001D5F5D">
        <w:rPr>
          <w:rFonts w:cstheme="minorHAnsi"/>
          <w:sz w:val="24"/>
          <w:szCs w:val="24"/>
        </w:rPr>
        <w:t>counted</w:t>
      </w:r>
      <w:proofErr w:type="gramEnd"/>
      <w:r w:rsidRPr="001D5F5D">
        <w:rPr>
          <w:rFonts w:cstheme="minorHAnsi"/>
          <w:sz w:val="24"/>
          <w:szCs w:val="24"/>
        </w:rPr>
        <w:t xml:space="preserve"> and removed. The </w:t>
      </w:r>
      <w:r w:rsidRPr="001D5F5D">
        <w:rPr>
          <w:rFonts w:cstheme="minorHAnsi"/>
          <w:sz w:val="24"/>
          <w:szCs w:val="24"/>
        </w:rPr>
        <w:lastRenderedPageBreak/>
        <w:t xml:space="preserve">seedling trays were observed for any further germination for another 7-10 days, at which time the samples were discarded. Any species that could not be identified to species at germination were labelled and transplanted into 38 P plug trays with the same growing media and growing conditions until a positive identification could be made. </w:t>
      </w:r>
    </w:p>
    <w:p w14:paraId="71709BE9" w14:textId="77777777" w:rsidR="00257DF2" w:rsidRPr="00450EB6" w:rsidRDefault="00257DF2" w:rsidP="007E7955">
      <w:pPr>
        <w:pStyle w:val="Heading2"/>
        <w:numPr>
          <w:ilvl w:val="0"/>
          <w:numId w:val="0"/>
        </w:numPr>
        <w:spacing w:line="480" w:lineRule="auto"/>
        <w:ind w:left="576" w:hanging="576"/>
      </w:pPr>
      <w:bookmarkStart w:id="12" w:name="_Toc143184236"/>
      <w:r w:rsidRPr="00450EB6">
        <w:t>Statistical analyses</w:t>
      </w:r>
      <w:bookmarkEnd w:id="12"/>
    </w:p>
    <w:p w14:paraId="081A2159" w14:textId="77777777"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All analyses were performed in R Studio (v. 4.2.2). Because tall, perennial graminoids (TPGs) are the dominant species group in intact tidal marsh plant communities, we focused most of our analyses on this taxonomic group, however we summarized compositional characteristics for all species. Mean species richness was calculated for all species in the above-ground vegetation and surface seed banks for each disturbance category. For all species, we defined dominance within the above-ground vegetation plots or surface seed bank samples as species having </w:t>
      </w:r>
      <w:r w:rsidRPr="001D5F5D">
        <w:rPr>
          <w:rFonts w:cstheme="minorHAnsi"/>
          <w:sz w:val="24"/>
          <w:szCs w:val="24"/>
          <w:u w:val="single"/>
        </w:rPr>
        <w:t>&gt;</w:t>
      </w:r>
      <w:r w:rsidRPr="001D5F5D">
        <w:rPr>
          <w:rFonts w:cstheme="minorHAnsi"/>
          <w:sz w:val="24"/>
          <w:szCs w:val="24"/>
        </w:rPr>
        <w:t xml:space="preserve"> 25% mean relative abundance. Although a species may be dominant within the vegetation at a site, dominance may not indicate specificity or fidelity to a specific disturbance category. To understand which species could be used to significantly characterize each grazing disturbance condition in the above-ground vegetation and surface seed, we used indicator species analysis (“</w:t>
      </w:r>
      <w:proofErr w:type="spellStart"/>
      <w:r w:rsidRPr="001D5F5D">
        <w:rPr>
          <w:rFonts w:cstheme="minorHAnsi"/>
          <w:sz w:val="24"/>
          <w:szCs w:val="24"/>
        </w:rPr>
        <w:t>indicspecies</w:t>
      </w:r>
      <w:proofErr w:type="spellEnd"/>
      <w:r w:rsidRPr="001D5F5D">
        <w:rPr>
          <w:rFonts w:cstheme="minorHAnsi"/>
          <w:sz w:val="24"/>
          <w:szCs w:val="24"/>
        </w:rPr>
        <w:t>,” R package De Caceres &amp; Jansen, 2016). Species significantly driving compositional abundance in each disturbance category were defined by a biserial correlation coefficient (</w:t>
      </w:r>
      <w:proofErr w:type="spellStart"/>
      <w:r w:rsidRPr="001D5F5D">
        <w:rPr>
          <w:rFonts w:cstheme="minorHAnsi"/>
          <w:sz w:val="24"/>
          <w:szCs w:val="24"/>
        </w:rPr>
        <w:t>multipatt</w:t>
      </w:r>
      <w:proofErr w:type="spellEnd"/>
      <w:r w:rsidRPr="001D5F5D">
        <w:rPr>
          <w:rFonts w:cstheme="minorHAnsi"/>
          <w:sz w:val="24"/>
          <w:szCs w:val="24"/>
        </w:rPr>
        <w:t xml:space="preserve"> </w:t>
      </w:r>
      <w:proofErr w:type="spellStart"/>
      <w:r w:rsidRPr="001D5F5D">
        <w:rPr>
          <w:rFonts w:cstheme="minorHAnsi"/>
          <w:sz w:val="24"/>
          <w:szCs w:val="24"/>
        </w:rPr>
        <w:t>func</w:t>
      </w:r>
      <w:proofErr w:type="spellEnd"/>
      <w:r w:rsidRPr="001D5F5D">
        <w:rPr>
          <w:rFonts w:cstheme="minorHAnsi"/>
          <w:sz w:val="24"/>
          <w:szCs w:val="24"/>
        </w:rPr>
        <w:t xml:space="preserve"> = “</w:t>
      </w:r>
      <w:proofErr w:type="spellStart"/>
      <w:r w:rsidRPr="001D5F5D">
        <w:rPr>
          <w:rFonts w:cstheme="minorHAnsi"/>
          <w:sz w:val="24"/>
          <w:szCs w:val="24"/>
        </w:rPr>
        <w:t>r.g.</w:t>
      </w:r>
      <w:proofErr w:type="spellEnd"/>
      <w:r w:rsidRPr="001D5F5D">
        <w:rPr>
          <w:rFonts w:cstheme="minorHAnsi"/>
          <w:sz w:val="24"/>
          <w:szCs w:val="24"/>
        </w:rPr>
        <w:t xml:space="preserve">”) and permutational analysis (Dufrene &amp; Legendre, 1997). </w:t>
      </w:r>
    </w:p>
    <w:p w14:paraId="6D7E15CA" w14:textId="4E475229"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Relative abundance in the above ground vegetation was calculated as the proportion of one species relative to the total plot cover, defined as the sum of all vegetation cover and bare </w:t>
      </w:r>
      <w:r w:rsidRPr="001D5F5D">
        <w:rPr>
          <w:rFonts w:cstheme="minorHAnsi"/>
          <w:sz w:val="24"/>
          <w:szCs w:val="24"/>
        </w:rPr>
        <w:lastRenderedPageBreak/>
        <w:t xml:space="preserve">ground. Relative abundance in the seed bank sample was calculated as the proportion of one species represented in the total germinants to fit a binomial distribution. To test whether species relative abundance differed among disturbance recovery categories we used separate generalized linear models for the above-ground vegetation and surface seed bank, each with a binomial distribution and logit link function from the R </w:t>
      </w:r>
      <w:r w:rsidRPr="001D5F5D">
        <w:rPr>
          <w:rFonts w:cstheme="minorHAnsi"/>
          <w:i/>
          <w:iCs/>
          <w:sz w:val="24"/>
          <w:szCs w:val="24"/>
        </w:rPr>
        <w:t>stats</w:t>
      </w:r>
      <w:r w:rsidRPr="001D5F5D">
        <w:rPr>
          <w:rFonts w:cstheme="minorHAnsi"/>
          <w:sz w:val="24"/>
          <w:szCs w:val="24"/>
        </w:rPr>
        <w:t xml:space="preserve"> package (R Core Team, 2022). Our response variable, the proportion of graminoid abundance in each sample of above-ground vegetation or the surface seed banks, was fit against each disturbance category as the primary predictor, with estuary location as an additional fixed effect to test for geographic differences.</w:t>
      </w:r>
      <w:r>
        <w:rPr>
          <w:rFonts w:cstheme="minorHAnsi"/>
          <w:sz w:val="24"/>
          <w:szCs w:val="24"/>
        </w:rPr>
        <w:t xml:space="preserve">, and model residuals were visually inspected for </w:t>
      </w:r>
      <w:r w:rsidRPr="008E3500">
        <w:rPr>
          <w:rFonts w:cstheme="minorHAnsi"/>
          <w:sz w:val="24"/>
          <w:szCs w:val="24"/>
        </w:rPr>
        <w:t>normality (</w:t>
      </w:r>
      <w:r w:rsidR="00302BFE" w:rsidRPr="008E3500">
        <w:rPr>
          <w:rFonts w:cstheme="minorHAnsi"/>
          <w:sz w:val="24"/>
          <w:szCs w:val="24"/>
        </w:rPr>
        <w:t>Fig.</w:t>
      </w:r>
      <w:r w:rsidRPr="008E3500">
        <w:rPr>
          <w:rFonts w:cstheme="minorHAnsi"/>
          <w:sz w:val="24"/>
          <w:szCs w:val="24"/>
        </w:rPr>
        <w:t xml:space="preserve"> S</w:t>
      </w:r>
      <w:r w:rsidR="008E3500" w:rsidRPr="008E3500">
        <w:rPr>
          <w:rFonts w:cstheme="minorHAnsi"/>
          <w:sz w:val="24"/>
          <w:szCs w:val="24"/>
        </w:rPr>
        <w:t>1</w:t>
      </w:r>
      <w:r w:rsidRPr="008E3500">
        <w:rPr>
          <w:rFonts w:cstheme="minorHAnsi"/>
          <w:sz w:val="24"/>
          <w:szCs w:val="24"/>
        </w:rPr>
        <w:t>).</w:t>
      </w:r>
      <w:r w:rsidRPr="001D5F5D">
        <w:rPr>
          <w:rFonts w:cstheme="minorHAnsi"/>
          <w:sz w:val="24"/>
          <w:szCs w:val="24"/>
        </w:rPr>
        <w:t xml:space="preserve"> For each model we used the </w:t>
      </w:r>
      <w:proofErr w:type="gramStart"/>
      <w:r w:rsidRPr="001D5F5D">
        <w:rPr>
          <w:rFonts w:cstheme="minorHAnsi"/>
          <w:sz w:val="24"/>
          <w:szCs w:val="24"/>
        </w:rPr>
        <w:t>predict(</w:t>
      </w:r>
      <w:proofErr w:type="gramEnd"/>
      <w:r w:rsidRPr="001D5F5D">
        <w:rPr>
          <w:rFonts w:cstheme="minorHAnsi"/>
          <w:sz w:val="24"/>
          <w:szCs w:val="24"/>
        </w:rPr>
        <w:t>) function with type = “response” (</w:t>
      </w:r>
      <w:r w:rsidRPr="001D5F5D">
        <w:rPr>
          <w:rFonts w:cstheme="minorHAnsi"/>
          <w:i/>
          <w:iCs/>
          <w:sz w:val="24"/>
          <w:szCs w:val="24"/>
        </w:rPr>
        <w:t>stats</w:t>
      </w:r>
      <w:r w:rsidRPr="001D5F5D">
        <w:rPr>
          <w:rFonts w:cstheme="minorHAnsi"/>
          <w:sz w:val="24"/>
          <w:szCs w:val="24"/>
        </w:rPr>
        <w:t xml:space="preserve">, R Core Team 2022) to calculate the probability of finding TPG relative abundance proportional to Undisturbed above-ground vegetation or surface seed banks.  </w:t>
      </w:r>
    </w:p>
    <w:p w14:paraId="1916EB02" w14:textId="77777777" w:rsidR="00257DF2" w:rsidRPr="001D5F5D" w:rsidRDefault="00257DF2" w:rsidP="007E7955">
      <w:pPr>
        <w:spacing w:line="480" w:lineRule="auto"/>
        <w:rPr>
          <w:rFonts w:cstheme="minorHAnsi"/>
          <w:sz w:val="24"/>
          <w:szCs w:val="24"/>
        </w:rPr>
      </w:pPr>
    </w:p>
    <w:p w14:paraId="1F4272B0" w14:textId="77777777" w:rsidR="00257DF2" w:rsidRPr="001D5F5D" w:rsidRDefault="00257DF2" w:rsidP="007E7955">
      <w:pPr>
        <w:spacing w:line="480" w:lineRule="auto"/>
        <w:rPr>
          <w:rFonts w:eastAsia="Times New Roman" w:cstheme="minorHAnsi"/>
          <w:b/>
          <w:bCs/>
          <w:color w:val="2F5496" w:themeColor="accent1" w:themeShade="BF"/>
          <w:sz w:val="24"/>
          <w:szCs w:val="24"/>
        </w:rPr>
      </w:pPr>
      <w:r w:rsidRPr="001D5F5D">
        <w:rPr>
          <w:rFonts w:eastAsia="Times New Roman" w:cstheme="minorHAnsi"/>
          <w:b/>
          <w:bCs/>
          <w:sz w:val="24"/>
          <w:szCs w:val="24"/>
        </w:rPr>
        <w:br w:type="page"/>
      </w:r>
    </w:p>
    <w:p w14:paraId="53367DF0" w14:textId="77777777" w:rsidR="00257DF2" w:rsidRPr="00450EB6" w:rsidRDefault="00257DF2" w:rsidP="007E7955">
      <w:pPr>
        <w:pStyle w:val="Heading1"/>
        <w:numPr>
          <w:ilvl w:val="0"/>
          <w:numId w:val="0"/>
        </w:numPr>
        <w:suppressLineNumbers/>
        <w:spacing w:line="480" w:lineRule="auto"/>
        <w:ind w:left="432" w:hanging="432"/>
      </w:pPr>
      <w:bookmarkStart w:id="13" w:name="_Toc143184237"/>
      <w:r w:rsidRPr="00450EB6">
        <w:lastRenderedPageBreak/>
        <w:t>Results</w:t>
      </w:r>
      <w:bookmarkEnd w:id="13"/>
    </w:p>
    <w:p w14:paraId="6C8A3C46" w14:textId="77777777" w:rsidR="00257DF2" w:rsidRPr="00450EB6" w:rsidRDefault="00257DF2" w:rsidP="007E7955">
      <w:pPr>
        <w:pStyle w:val="Heading2"/>
        <w:numPr>
          <w:ilvl w:val="0"/>
          <w:numId w:val="0"/>
        </w:numPr>
        <w:spacing w:line="480" w:lineRule="auto"/>
        <w:ind w:left="576" w:hanging="576"/>
      </w:pPr>
      <w:bookmarkStart w:id="14" w:name="_Toc143184238"/>
      <w:r w:rsidRPr="00450EB6">
        <w:t>Above-ground vegetation</w:t>
      </w:r>
      <w:bookmarkEnd w:id="14"/>
    </w:p>
    <w:p w14:paraId="0E372C57" w14:textId="71FD83D1" w:rsidR="00257DF2" w:rsidRPr="001D5F5D" w:rsidRDefault="00257DF2" w:rsidP="007E7955">
      <w:pPr>
        <w:spacing w:line="480" w:lineRule="auto"/>
        <w:ind w:firstLine="720"/>
        <w:rPr>
          <w:rFonts w:cstheme="minorHAnsi"/>
          <w:sz w:val="24"/>
          <w:szCs w:val="24"/>
        </w:rPr>
      </w:pPr>
      <w:r w:rsidRPr="001D5F5D">
        <w:rPr>
          <w:rFonts w:cstheme="minorHAnsi"/>
          <w:sz w:val="24"/>
          <w:szCs w:val="24"/>
        </w:rPr>
        <w:t>Native species richness was consistently greater than non-native richness across all disturbance categories, although the Little Qualicum River Estuary (LQRE) had the lowest mean native species richness in the Undisturbed and 10-year old exclosures (</w:t>
      </w:r>
      <w:r w:rsidR="00DD34FC">
        <w:rPr>
          <w:rFonts w:cstheme="minorHAnsi"/>
          <w:sz w:val="24"/>
          <w:szCs w:val="24"/>
        </w:rPr>
        <w:t>Fig. 3</w:t>
      </w:r>
      <w:r w:rsidRPr="001D5F5D">
        <w:rPr>
          <w:rFonts w:cstheme="minorHAnsi"/>
          <w:sz w:val="24"/>
          <w:szCs w:val="24"/>
        </w:rPr>
        <w:t xml:space="preserve">).  We found that cover abundance of the dominant group of tall, perennial graminoids (TPGs) was </w:t>
      </w:r>
      <w:proofErr w:type="gramStart"/>
      <w:r w:rsidRPr="001D5F5D">
        <w:rPr>
          <w:rFonts w:cstheme="minorHAnsi"/>
          <w:sz w:val="24"/>
          <w:szCs w:val="24"/>
        </w:rPr>
        <w:t>similar to</w:t>
      </w:r>
      <w:proofErr w:type="gramEnd"/>
      <w:r w:rsidRPr="001D5F5D">
        <w:rPr>
          <w:rFonts w:cstheme="minorHAnsi"/>
          <w:sz w:val="24"/>
          <w:szCs w:val="24"/>
        </w:rPr>
        <w:t xml:space="preserve"> Undisturbed sites after grazing exclusion, however compositional abundance became dominated by non-native, invasive species in the 10-year old exclosure sites (</w:t>
      </w:r>
      <w:r w:rsidR="007222C6">
        <w:rPr>
          <w:rFonts w:cstheme="minorHAnsi"/>
          <w:sz w:val="24"/>
          <w:szCs w:val="24"/>
        </w:rPr>
        <w:t>Fig. 4</w:t>
      </w:r>
      <w:r w:rsidRPr="001D5F5D">
        <w:rPr>
          <w:rFonts w:cstheme="minorHAnsi"/>
          <w:sz w:val="24"/>
          <w:szCs w:val="24"/>
        </w:rPr>
        <w:t>). Dominant species were often the same as those identified by indicator species analysis (</w:t>
      </w:r>
      <w:r>
        <w:rPr>
          <w:rFonts w:cstheme="minorHAnsi"/>
          <w:sz w:val="24"/>
          <w:szCs w:val="24"/>
        </w:rPr>
        <w:t>Table 3</w:t>
      </w:r>
      <w:r w:rsidRPr="001D5F5D">
        <w:rPr>
          <w:rFonts w:cstheme="minorHAnsi"/>
          <w:sz w:val="24"/>
          <w:szCs w:val="24"/>
        </w:rPr>
        <w:t>) in each disturbance category, although indicator species were not always dominant (</w:t>
      </w:r>
      <w:r w:rsidR="007222C6">
        <w:rPr>
          <w:rFonts w:cstheme="minorHAnsi"/>
          <w:sz w:val="24"/>
          <w:szCs w:val="24"/>
        </w:rPr>
        <w:t>Fig. 5</w:t>
      </w:r>
      <w:r w:rsidRPr="001D5F5D">
        <w:rPr>
          <w:rFonts w:cstheme="minorHAnsi"/>
          <w:sz w:val="24"/>
          <w:szCs w:val="24"/>
        </w:rPr>
        <w:t xml:space="preserve">). </w:t>
      </w:r>
    </w:p>
    <w:p w14:paraId="75ACB016" w14:textId="5B2412CA" w:rsidR="00257DF2" w:rsidRPr="001D5F5D" w:rsidRDefault="00257DF2" w:rsidP="007E7955">
      <w:pPr>
        <w:keepNext/>
        <w:spacing w:line="480" w:lineRule="auto"/>
        <w:rPr>
          <w:sz w:val="24"/>
          <w:szCs w:val="24"/>
        </w:rPr>
      </w:pPr>
    </w:p>
    <w:p w14:paraId="7CEC3BD1" w14:textId="7416CA11" w:rsidR="00257DF2" w:rsidRPr="008D159A" w:rsidRDefault="00DD34FC" w:rsidP="007E7955">
      <w:pPr>
        <w:spacing w:line="480" w:lineRule="auto"/>
        <w:rPr>
          <w:rFonts w:cstheme="minorHAnsi"/>
          <w:i/>
          <w:iCs/>
          <w:sz w:val="24"/>
          <w:szCs w:val="24"/>
        </w:rPr>
      </w:pPr>
      <w:bookmarkStart w:id="15" w:name="_Ref137732263"/>
      <w:bookmarkStart w:id="16" w:name="_Toc137735456"/>
      <w:r w:rsidRPr="008D159A">
        <w:rPr>
          <w:b/>
          <w:bCs/>
          <w:iCs/>
          <w:kern w:val="0"/>
          <w:sz w:val="24"/>
          <w:szCs w:val="24"/>
          <w:lang w:val="en-US"/>
          <w14:ligatures w14:val="none"/>
        </w:rPr>
        <w:t>Fig. 3</w:t>
      </w:r>
      <w:r w:rsidR="00257DF2" w:rsidRPr="008D159A">
        <w:rPr>
          <w:iCs/>
          <w:kern w:val="0"/>
          <w:sz w:val="24"/>
          <w:szCs w:val="24"/>
          <w:lang w:val="en-US"/>
          <w14:ligatures w14:val="none"/>
        </w:rPr>
        <w:t xml:space="preserve"> </w:t>
      </w:r>
      <w:r w:rsidR="00257DF2" w:rsidRPr="008D159A">
        <w:rPr>
          <w:i/>
          <w:kern w:val="0"/>
          <w:sz w:val="24"/>
          <w:szCs w:val="24"/>
          <w:lang w:val="en-US"/>
          <w14:ligatures w14:val="none"/>
        </w:rPr>
        <w:t>Species richness of native vs. non-native plants among disturbance categories in both Nanaimo and Little Qualicum River Estuaries for both above-ground vegetation and surface seed banks</w:t>
      </w:r>
      <w:bookmarkEnd w:id="15"/>
      <w:bookmarkEnd w:id="16"/>
      <w:r w:rsidRPr="008D159A">
        <w:rPr>
          <w:iCs/>
          <w:kern w:val="0"/>
          <w:sz w:val="24"/>
          <w:szCs w:val="24"/>
          <w:lang w:val="en-US"/>
          <w14:ligatures w14:val="none"/>
        </w:rPr>
        <w:t xml:space="preserve"> </w:t>
      </w:r>
    </w:p>
    <w:p w14:paraId="0DBFBCA3" w14:textId="2BD65099" w:rsidR="00257DF2" w:rsidRDefault="00257DF2" w:rsidP="007E7955">
      <w:pPr>
        <w:keepNext/>
        <w:spacing w:line="480" w:lineRule="auto"/>
        <w:rPr>
          <w:rFonts w:cstheme="minorHAnsi"/>
          <w:sz w:val="24"/>
          <w:szCs w:val="24"/>
        </w:rPr>
      </w:pPr>
    </w:p>
    <w:p w14:paraId="365C186C" w14:textId="77777777" w:rsidR="004F280B" w:rsidRDefault="004F280B" w:rsidP="007E7955">
      <w:pPr>
        <w:keepNext/>
        <w:spacing w:line="480" w:lineRule="auto"/>
        <w:rPr>
          <w:rFonts w:cstheme="minorHAnsi"/>
          <w:sz w:val="24"/>
          <w:szCs w:val="24"/>
        </w:rPr>
      </w:pPr>
    </w:p>
    <w:p w14:paraId="487C0874" w14:textId="77777777" w:rsidR="004F280B" w:rsidRDefault="004F280B" w:rsidP="007E7955">
      <w:pPr>
        <w:keepNext/>
        <w:spacing w:line="480" w:lineRule="auto"/>
        <w:rPr>
          <w:rFonts w:cstheme="minorHAnsi"/>
          <w:sz w:val="24"/>
          <w:szCs w:val="24"/>
        </w:rPr>
      </w:pPr>
    </w:p>
    <w:p w14:paraId="59F3074B" w14:textId="1A162662" w:rsidR="004F280B" w:rsidRDefault="004F280B">
      <w:pPr>
        <w:rPr>
          <w:rFonts w:cstheme="minorHAnsi"/>
          <w:sz w:val="24"/>
          <w:szCs w:val="24"/>
        </w:rPr>
      </w:pPr>
      <w:r>
        <w:rPr>
          <w:rFonts w:cstheme="minorHAnsi"/>
          <w:sz w:val="24"/>
          <w:szCs w:val="24"/>
        </w:rPr>
        <w:br w:type="page"/>
      </w:r>
    </w:p>
    <w:p w14:paraId="0FB4687F" w14:textId="5E850D16" w:rsidR="00257DF2" w:rsidRPr="008D159A" w:rsidRDefault="00D711EF" w:rsidP="007E7955">
      <w:pPr>
        <w:spacing w:line="480" w:lineRule="auto"/>
        <w:rPr>
          <w:rFonts w:cstheme="minorHAnsi"/>
          <w:sz w:val="24"/>
          <w:szCs w:val="24"/>
        </w:rPr>
      </w:pPr>
      <w:bookmarkStart w:id="17" w:name="_Ref137732280"/>
      <w:bookmarkStart w:id="18" w:name="_Toc137735457"/>
      <w:r w:rsidRPr="008D159A">
        <w:rPr>
          <w:rFonts w:cstheme="minorHAnsi"/>
          <w:b/>
          <w:bCs/>
          <w:kern w:val="0"/>
          <w:sz w:val="24"/>
          <w:szCs w:val="24"/>
          <w:lang w:val="en-US"/>
          <w14:ligatures w14:val="none"/>
        </w:rPr>
        <w:lastRenderedPageBreak/>
        <w:t>Fig. 4</w:t>
      </w:r>
      <w:r w:rsidR="00257DF2" w:rsidRPr="008D159A">
        <w:rPr>
          <w:rFonts w:cstheme="minorHAnsi"/>
          <w:i/>
          <w:iCs/>
          <w:kern w:val="0"/>
          <w:sz w:val="24"/>
          <w:szCs w:val="24"/>
          <w:lang w:val="en-US"/>
          <w14:ligatures w14:val="none"/>
        </w:rPr>
        <w:t xml:space="preserve"> Above-ground cover abundance of key functional group ‘tall, perennial graminoids’ is not significantly different from undisturbed (reference) sites after 10 years. However, indicator species analysis reveals this above-ground cover is dominated by non-native graminoid species Agrostis stolonifera. Moreover, seed bank abundance of tall, perennial graminoids is significantly higher in 10-year old exclosures compared to other disturbance conditions, including undisturbed (reference) sites. Notably, there is a nearly equal abundance of non-native and native graminoid seed in 10-year old exclosures, and significantly greater representation of non-native than native graminoid seed in Undisturbed sites in Little Qualicum Estuary</w:t>
      </w:r>
      <w:bookmarkEnd w:id="17"/>
      <w:bookmarkEnd w:id="18"/>
    </w:p>
    <w:p w14:paraId="17199B38" w14:textId="4A5F7420"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Above-ground vegetation in undisturbed sites in both estuaries (n = 8) was dominated by several TPGs (non-native </w:t>
      </w:r>
      <w:r w:rsidRPr="001D5F5D">
        <w:rPr>
          <w:rFonts w:cstheme="minorHAnsi"/>
          <w:i/>
          <w:iCs/>
          <w:sz w:val="24"/>
          <w:szCs w:val="24"/>
        </w:rPr>
        <w:t>Agrostis stolonifera</w:t>
      </w:r>
      <w:r w:rsidRPr="001D5F5D">
        <w:rPr>
          <w:rFonts w:cstheme="minorHAnsi"/>
          <w:sz w:val="24"/>
          <w:szCs w:val="24"/>
        </w:rPr>
        <w:t xml:space="preserve">, and native species </w:t>
      </w:r>
      <w:r w:rsidRPr="001D5F5D">
        <w:rPr>
          <w:rFonts w:cstheme="minorHAnsi"/>
          <w:i/>
          <w:iCs/>
          <w:sz w:val="24"/>
          <w:szCs w:val="24"/>
        </w:rPr>
        <w:t>Carex lyngbyei</w:t>
      </w:r>
      <w:r w:rsidRPr="001D5F5D">
        <w:rPr>
          <w:rFonts w:cstheme="minorHAnsi"/>
          <w:sz w:val="24"/>
          <w:szCs w:val="24"/>
        </w:rPr>
        <w:t xml:space="preserve"> and </w:t>
      </w:r>
      <w:r w:rsidRPr="001D5F5D">
        <w:rPr>
          <w:rFonts w:cstheme="minorHAnsi"/>
          <w:i/>
          <w:iCs/>
          <w:sz w:val="24"/>
          <w:szCs w:val="24"/>
        </w:rPr>
        <w:t>Juncus balticus</w:t>
      </w:r>
      <w:r w:rsidRPr="001D5F5D">
        <w:rPr>
          <w:rFonts w:cstheme="minorHAnsi"/>
          <w:sz w:val="24"/>
          <w:szCs w:val="24"/>
        </w:rPr>
        <w:t xml:space="preserve">), in addition to native broadleaf flowering species </w:t>
      </w:r>
      <w:r w:rsidRPr="001D5F5D">
        <w:rPr>
          <w:rFonts w:cstheme="minorHAnsi"/>
          <w:i/>
          <w:iCs/>
          <w:sz w:val="24"/>
          <w:szCs w:val="24"/>
        </w:rPr>
        <w:t>Potentilla pacifica</w:t>
      </w:r>
      <w:r w:rsidRPr="001D5F5D">
        <w:rPr>
          <w:rFonts w:cstheme="minorHAnsi"/>
          <w:sz w:val="24"/>
          <w:szCs w:val="24"/>
        </w:rPr>
        <w:t xml:space="preserve"> in LQRE, and </w:t>
      </w:r>
      <w:r w:rsidRPr="001D5F5D">
        <w:rPr>
          <w:rFonts w:cstheme="minorHAnsi"/>
          <w:i/>
          <w:iCs/>
          <w:sz w:val="24"/>
          <w:szCs w:val="24"/>
        </w:rPr>
        <w:t>Symphyotrichum subspicatum</w:t>
      </w:r>
      <w:r w:rsidRPr="001D5F5D">
        <w:rPr>
          <w:rFonts w:cstheme="minorHAnsi"/>
          <w:sz w:val="24"/>
          <w:szCs w:val="24"/>
        </w:rPr>
        <w:t xml:space="preserve"> in both estuaries (</w:t>
      </w:r>
      <w:r w:rsidR="003A21A9">
        <w:rPr>
          <w:rFonts w:cstheme="minorHAnsi"/>
          <w:sz w:val="24"/>
          <w:szCs w:val="24"/>
        </w:rPr>
        <w:t>Fig. 5</w:t>
      </w:r>
      <w:r w:rsidRPr="001D5F5D">
        <w:rPr>
          <w:rFonts w:cstheme="minorHAnsi"/>
          <w:sz w:val="24"/>
          <w:szCs w:val="24"/>
        </w:rPr>
        <w:t xml:space="preserve">).  The 10-year old exclosures in LQRE (n = 4) shared similar dominant species, however non-native </w:t>
      </w:r>
      <w:r w:rsidRPr="001D5F5D">
        <w:rPr>
          <w:rFonts w:cstheme="minorHAnsi"/>
          <w:i/>
          <w:iCs/>
          <w:sz w:val="24"/>
          <w:szCs w:val="24"/>
        </w:rPr>
        <w:t>A. stolonifera</w:t>
      </w:r>
      <w:r w:rsidRPr="001D5F5D">
        <w:rPr>
          <w:rFonts w:cstheme="minorHAnsi"/>
          <w:sz w:val="24"/>
          <w:szCs w:val="24"/>
        </w:rPr>
        <w:t xml:space="preserve"> had greater abundance than native </w:t>
      </w:r>
      <w:r w:rsidRPr="001D5F5D">
        <w:rPr>
          <w:rFonts w:cstheme="minorHAnsi"/>
          <w:i/>
          <w:iCs/>
          <w:sz w:val="24"/>
          <w:szCs w:val="24"/>
        </w:rPr>
        <w:t>C. lyngbyei</w:t>
      </w:r>
      <w:r w:rsidRPr="001D5F5D">
        <w:rPr>
          <w:rFonts w:cstheme="minorHAnsi"/>
          <w:sz w:val="24"/>
          <w:szCs w:val="24"/>
        </w:rPr>
        <w:t xml:space="preserve">; native TPG </w:t>
      </w:r>
      <w:r w:rsidRPr="001D5F5D">
        <w:rPr>
          <w:rFonts w:cstheme="minorHAnsi"/>
          <w:i/>
          <w:iCs/>
          <w:sz w:val="24"/>
          <w:szCs w:val="24"/>
        </w:rPr>
        <w:t>J. balticus</w:t>
      </w:r>
      <w:r w:rsidRPr="001D5F5D">
        <w:rPr>
          <w:rFonts w:cstheme="minorHAnsi"/>
          <w:sz w:val="24"/>
          <w:szCs w:val="24"/>
        </w:rPr>
        <w:t xml:space="preserve"> was not dominant, and </w:t>
      </w:r>
      <w:r w:rsidRPr="001D5F5D">
        <w:rPr>
          <w:rFonts w:cstheme="minorHAnsi"/>
          <w:i/>
          <w:iCs/>
          <w:sz w:val="24"/>
          <w:szCs w:val="24"/>
        </w:rPr>
        <w:t>S. subspicatum</w:t>
      </w:r>
      <w:r w:rsidRPr="001D5F5D">
        <w:rPr>
          <w:rFonts w:cstheme="minorHAnsi"/>
          <w:sz w:val="24"/>
          <w:szCs w:val="24"/>
        </w:rPr>
        <w:t xml:space="preserve"> was not present.  Indicator species analysis identified non-native graminoid </w:t>
      </w:r>
      <w:r w:rsidRPr="001D5F5D">
        <w:rPr>
          <w:rFonts w:cstheme="minorHAnsi"/>
          <w:i/>
          <w:iCs/>
          <w:sz w:val="24"/>
          <w:szCs w:val="24"/>
        </w:rPr>
        <w:t>A. stolonifera</w:t>
      </w:r>
      <w:r w:rsidRPr="001D5F5D">
        <w:rPr>
          <w:rFonts w:cstheme="minorHAnsi"/>
          <w:sz w:val="24"/>
          <w:szCs w:val="24"/>
        </w:rPr>
        <w:t xml:space="preserve"> and native forb </w:t>
      </w:r>
      <w:r w:rsidRPr="001D5F5D">
        <w:rPr>
          <w:rFonts w:cstheme="minorHAnsi"/>
          <w:i/>
          <w:iCs/>
          <w:sz w:val="24"/>
          <w:szCs w:val="24"/>
        </w:rPr>
        <w:t>P. pacifica</w:t>
      </w:r>
      <w:r w:rsidRPr="001D5F5D">
        <w:rPr>
          <w:rFonts w:cstheme="minorHAnsi"/>
          <w:sz w:val="24"/>
          <w:szCs w:val="24"/>
        </w:rPr>
        <w:t xml:space="preserve"> as significantly characterizing the 10-year old exclosures, while Undisturbed sites included two native graminoids and one forb (</w:t>
      </w:r>
      <w:r w:rsidRPr="001D5F5D">
        <w:rPr>
          <w:rFonts w:cstheme="minorHAnsi"/>
          <w:i/>
          <w:iCs/>
          <w:sz w:val="24"/>
          <w:szCs w:val="24"/>
        </w:rPr>
        <w:t>J. balticus</w:t>
      </w:r>
      <w:r w:rsidRPr="001D5F5D">
        <w:rPr>
          <w:rFonts w:cstheme="minorHAnsi"/>
          <w:sz w:val="24"/>
          <w:szCs w:val="24"/>
        </w:rPr>
        <w:t xml:space="preserve">, </w:t>
      </w:r>
      <w:r w:rsidRPr="001D5F5D">
        <w:rPr>
          <w:rFonts w:cstheme="minorHAnsi"/>
          <w:i/>
          <w:iCs/>
          <w:sz w:val="24"/>
          <w:szCs w:val="24"/>
        </w:rPr>
        <w:t>C. lyngbyei</w:t>
      </w:r>
      <w:r w:rsidRPr="001D5F5D">
        <w:rPr>
          <w:rFonts w:cstheme="minorHAnsi"/>
          <w:sz w:val="24"/>
          <w:szCs w:val="24"/>
        </w:rPr>
        <w:t xml:space="preserve">, </w:t>
      </w:r>
      <w:r w:rsidRPr="001D5F5D">
        <w:rPr>
          <w:rFonts w:cstheme="minorHAnsi"/>
          <w:i/>
          <w:iCs/>
          <w:sz w:val="24"/>
          <w:szCs w:val="24"/>
        </w:rPr>
        <w:t>Triglochin maritima</w:t>
      </w:r>
      <w:r w:rsidRPr="001D5F5D">
        <w:rPr>
          <w:rFonts w:cstheme="minorHAnsi"/>
          <w:sz w:val="24"/>
          <w:szCs w:val="24"/>
        </w:rPr>
        <w:t>) (</w:t>
      </w:r>
      <w:r>
        <w:rPr>
          <w:rFonts w:cstheme="minorHAnsi"/>
          <w:sz w:val="24"/>
          <w:szCs w:val="24"/>
        </w:rPr>
        <w:t>Table 4</w:t>
      </w:r>
      <w:r w:rsidRPr="001D5F5D">
        <w:rPr>
          <w:rFonts w:cstheme="minorHAnsi"/>
          <w:sz w:val="24"/>
          <w:szCs w:val="24"/>
        </w:rPr>
        <w:t xml:space="preserve">).  </w:t>
      </w:r>
    </w:p>
    <w:p w14:paraId="57B72A2A" w14:textId="77777777" w:rsidR="004F280B" w:rsidRDefault="004F280B">
      <w:pPr>
        <w:rPr>
          <w:rFonts w:cstheme="minorHAnsi"/>
          <w:i/>
          <w:iCs/>
          <w:sz w:val="24"/>
          <w:szCs w:val="24"/>
        </w:rPr>
      </w:pPr>
      <w:bookmarkStart w:id="19" w:name="_Ref137732300"/>
      <w:bookmarkStart w:id="20" w:name="_Toc137735622"/>
      <w:r>
        <w:rPr>
          <w:rFonts w:cstheme="minorHAnsi"/>
          <w:sz w:val="24"/>
          <w:szCs w:val="24"/>
        </w:rPr>
        <w:br w:type="page"/>
      </w:r>
    </w:p>
    <w:p w14:paraId="4C6466F8" w14:textId="4859812B" w:rsidR="00257DF2" w:rsidRPr="0002389B" w:rsidRDefault="00257DF2" w:rsidP="007E7955">
      <w:pPr>
        <w:pStyle w:val="Caption"/>
        <w:keepNext/>
        <w:spacing w:line="480" w:lineRule="auto"/>
        <w:rPr>
          <w:rFonts w:cstheme="minorHAnsi"/>
          <w:color w:val="auto"/>
          <w:kern w:val="2"/>
          <w:sz w:val="24"/>
          <w:szCs w:val="24"/>
          <w:lang w:val="en-CA"/>
          <w14:ligatures w14:val="standardContextual"/>
        </w:rPr>
      </w:pPr>
      <w:r w:rsidRPr="004F280B">
        <w:rPr>
          <w:rFonts w:cstheme="minorHAnsi"/>
          <w:b/>
          <w:bCs/>
          <w:i w:val="0"/>
          <w:iCs w:val="0"/>
          <w:color w:val="auto"/>
          <w:kern w:val="2"/>
          <w:sz w:val="24"/>
          <w:szCs w:val="24"/>
          <w:lang w:val="en-CA"/>
          <w14:ligatures w14:val="standardContextual"/>
        </w:rPr>
        <w:lastRenderedPageBreak/>
        <w:t>Table 4</w:t>
      </w:r>
      <w:r w:rsidRPr="0002389B">
        <w:rPr>
          <w:rFonts w:cstheme="minorHAnsi"/>
          <w:color w:val="auto"/>
          <w:kern w:val="2"/>
          <w:sz w:val="24"/>
          <w:szCs w:val="24"/>
          <w:lang w:val="en-CA"/>
          <w14:ligatures w14:val="standardContextual"/>
        </w:rPr>
        <w:t xml:space="preserve"> Indicator species analysis identified which species significantly characterize the above-ground vegetation (left panel) and surface seed bank (right panel) for each disturbance condition of “recently disturbed” (1-year old exclosures and Grubbed sites) and “recovered” (10-year old exclosures), and Undisturbed sites. No species significantly indicated surface seed banks in 1-year old exclosures. Non-native species are indicated by asterisk (*); tall perennial graminoids indicated by plus sign (+).</w:t>
      </w:r>
      <w:bookmarkEnd w:id="19"/>
      <w:bookmarkEnd w:id="20"/>
    </w:p>
    <w:tbl>
      <w:tblPr>
        <w:tblW w:w="10348" w:type="dxa"/>
        <w:tblInd w:w="-567" w:type="dxa"/>
        <w:tblLook w:val="04A0" w:firstRow="1" w:lastRow="0" w:firstColumn="1" w:lastColumn="0" w:noHBand="0" w:noVBand="1"/>
      </w:tblPr>
      <w:tblGrid>
        <w:gridCol w:w="1701"/>
        <w:gridCol w:w="2268"/>
        <w:gridCol w:w="1178"/>
        <w:gridCol w:w="271"/>
        <w:gridCol w:w="1575"/>
        <w:gridCol w:w="2215"/>
        <w:gridCol w:w="1140"/>
      </w:tblGrid>
      <w:tr w:rsidR="00257DF2" w:rsidRPr="001D5F5D" w14:paraId="642C6CE1" w14:textId="77777777" w:rsidTr="0002389B">
        <w:trPr>
          <w:trHeight w:val="372"/>
        </w:trPr>
        <w:tc>
          <w:tcPr>
            <w:tcW w:w="5147" w:type="dxa"/>
            <w:gridSpan w:val="3"/>
            <w:tcBorders>
              <w:top w:val="nil"/>
              <w:left w:val="nil"/>
              <w:bottom w:val="double" w:sz="6" w:space="0" w:color="auto"/>
              <w:right w:val="nil"/>
            </w:tcBorders>
            <w:shd w:val="clear" w:color="auto" w:fill="auto"/>
            <w:noWrap/>
            <w:vAlign w:val="bottom"/>
            <w:hideMark/>
          </w:tcPr>
          <w:p w14:paraId="42CF17B4"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Above Ground Vegetation</w:t>
            </w:r>
          </w:p>
        </w:tc>
        <w:tc>
          <w:tcPr>
            <w:tcW w:w="271" w:type="dxa"/>
            <w:tcBorders>
              <w:top w:val="nil"/>
              <w:left w:val="nil"/>
              <w:bottom w:val="double" w:sz="6" w:space="0" w:color="auto"/>
              <w:right w:val="nil"/>
            </w:tcBorders>
            <w:shd w:val="clear" w:color="auto" w:fill="auto"/>
            <w:noWrap/>
            <w:vAlign w:val="bottom"/>
            <w:hideMark/>
          </w:tcPr>
          <w:p w14:paraId="1DCD258A"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4930" w:type="dxa"/>
            <w:gridSpan w:val="3"/>
            <w:tcBorders>
              <w:top w:val="nil"/>
              <w:left w:val="nil"/>
              <w:bottom w:val="double" w:sz="6" w:space="0" w:color="auto"/>
              <w:right w:val="nil"/>
            </w:tcBorders>
            <w:shd w:val="clear" w:color="auto" w:fill="auto"/>
            <w:noWrap/>
            <w:vAlign w:val="bottom"/>
            <w:hideMark/>
          </w:tcPr>
          <w:p w14:paraId="6225EE1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Below Ground Seed Bank</w:t>
            </w:r>
          </w:p>
        </w:tc>
      </w:tr>
      <w:tr w:rsidR="00257DF2" w:rsidRPr="001D5F5D" w14:paraId="42B29C10" w14:textId="77777777" w:rsidTr="0002389B">
        <w:trPr>
          <w:trHeight w:val="312"/>
        </w:trPr>
        <w:tc>
          <w:tcPr>
            <w:tcW w:w="1701" w:type="dxa"/>
            <w:tcBorders>
              <w:top w:val="nil"/>
              <w:left w:val="nil"/>
              <w:bottom w:val="single" w:sz="8" w:space="0" w:color="auto"/>
              <w:right w:val="nil"/>
            </w:tcBorders>
            <w:shd w:val="clear" w:color="auto" w:fill="auto"/>
            <w:vAlign w:val="center"/>
            <w:hideMark/>
          </w:tcPr>
          <w:p w14:paraId="1759E33C"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Disturbance</w:t>
            </w:r>
          </w:p>
        </w:tc>
        <w:tc>
          <w:tcPr>
            <w:tcW w:w="2268" w:type="dxa"/>
            <w:tcBorders>
              <w:top w:val="nil"/>
              <w:left w:val="nil"/>
              <w:bottom w:val="single" w:sz="8" w:space="0" w:color="auto"/>
              <w:right w:val="nil"/>
            </w:tcBorders>
            <w:shd w:val="clear" w:color="auto" w:fill="auto"/>
            <w:noWrap/>
            <w:vAlign w:val="center"/>
            <w:hideMark/>
          </w:tcPr>
          <w:p w14:paraId="6E6F330F"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Species</w:t>
            </w:r>
          </w:p>
        </w:tc>
        <w:tc>
          <w:tcPr>
            <w:tcW w:w="1178" w:type="dxa"/>
            <w:tcBorders>
              <w:top w:val="nil"/>
              <w:left w:val="nil"/>
              <w:bottom w:val="single" w:sz="8" w:space="0" w:color="auto"/>
              <w:right w:val="nil"/>
            </w:tcBorders>
            <w:shd w:val="clear" w:color="auto" w:fill="auto"/>
            <w:noWrap/>
            <w:vAlign w:val="center"/>
            <w:hideMark/>
          </w:tcPr>
          <w:p w14:paraId="3B06C47B"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p-value</w:t>
            </w:r>
          </w:p>
        </w:tc>
        <w:tc>
          <w:tcPr>
            <w:tcW w:w="271" w:type="dxa"/>
            <w:tcBorders>
              <w:top w:val="nil"/>
              <w:left w:val="nil"/>
              <w:bottom w:val="nil"/>
              <w:right w:val="nil"/>
            </w:tcBorders>
            <w:shd w:val="clear" w:color="000000" w:fill="E7E6E6"/>
            <w:noWrap/>
            <w:vAlign w:val="bottom"/>
            <w:hideMark/>
          </w:tcPr>
          <w:p w14:paraId="0DAC6A3E"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tcBorders>
              <w:top w:val="nil"/>
              <w:left w:val="nil"/>
              <w:bottom w:val="single" w:sz="8" w:space="0" w:color="auto"/>
              <w:right w:val="nil"/>
            </w:tcBorders>
            <w:shd w:val="clear" w:color="auto" w:fill="auto"/>
            <w:vAlign w:val="center"/>
            <w:hideMark/>
          </w:tcPr>
          <w:p w14:paraId="2A7491E9"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Disturbance</w:t>
            </w:r>
          </w:p>
        </w:tc>
        <w:tc>
          <w:tcPr>
            <w:tcW w:w="2215" w:type="dxa"/>
            <w:tcBorders>
              <w:top w:val="nil"/>
              <w:left w:val="nil"/>
              <w:bottom w:val="single" w:sz="8" w:space="0" w:color="auto"/>
              <w:right w:val="nil"/>
            </w:tcBorders>
            <w:shd w:val="clear" w:color="auto" w:fill="auto"/>
            <w:noWrap/>
            <w:vAlign w:val="center"/>
            <w:hideMark/>
          </w:tcPr>
          <w:p w14:paraId="550E52C3"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Species</w:t>
            </w:r>
          </w:p>
        </w:tc>
        <w:tc>
          <w:tcPr>
            <w:tcW w:w="1140" w:type="dxa"/>
            <w:tcBorders>
              <w:top w:val="nil"/>
              <w:left w:val="nil"/>
              <w:bottom w:val="single" w:sz="8" w:space="0" w:color="auto"/>
              <w:right w:val="nil"/>
            </w:tcBorders>
            <w:shd w:val="clear" w:color="auto" w:fill="auto"/>
            <w:noWrap/>
            <w:vAlign w:val="center"/>
            <w:hideMark/>
          </w:tcPr>
          <w:p w14:paraId="2189E8BF" w14:textId="77777777" w:rsidR="00257DF2" w:rsidRPr="001D5F5D" w:rsidRDefault="00257DF2" w:rsidP="004F280B">
            <w:pPr>
              <w:spacing w:after="0" w:line="240" w:lineRule="auto"/>
              <w:jc w:val="center"/>
              <w:rPr>
                <w:rFonts w:ascii="Calibri" w:eastAsia="Times New Roman" w:hAnsi="Calibri" w:cs="Calibri"/>
                <w:b/>
                <w:bCs/>
                <w:color w:val="000000"/>
                <w:sz w:val="24"/>
                <w:szCs w:val="24"/>
                <w:lang w:eastAsia="en-CA"/>
              </w:rPr>
            </w:pPr>
            <w:r w:rsidRPr="001D5F5D">
              <w:rPr>
                <w:rFonts w:ascii="Calibri" w:eastAsia="Times New Roman" w:hAnsi="Calibri" w:cs="Calibri"/>
                <w:b/>
                <w:bCs/>
                <w:color w:val="000000"/>
                <w:sz w:val="24"/>
                <w:szCs w:val="24"/>
                <w:lang w:eastAsia="en-CA"/>
              </w:rPr>
              <w:t>p-value</w:t>
            </w:r>
          </w:p>
        </w:tc>
      </w:tr>
      <w:tr w:rsidR="00257DF2" w:rsidRPr="001D5F5D" w14:paraId="32ABFE2E" w14:textId="77777777" w:rsidTr="0002389B">
        <w:trPr>
          <w:trHeight w:val="288"/>
        </w:trPr>
        <w:tc>
          <w:tcPr>
            <w:tcW w:w="1701" w:type="dxa"/>
            <w:vMerge w:val="restart"/>
            <w:tcBorders>
              <w:top w:val="nil"/>
              <w:left w:val="nil"/>
              <w:bottom w:val="single" w:sz="8" w:space="0" w:color="000000"/>
              <w:right w:val="nil"/>
            </w:tcBorders>
            <w:shd w:val="clear" w:color="auto" w:fill="auto"/>
            <w:vAlign w:val="center"/>
            <w:hideMark/>
          </w:tcPr>
          <w:p w14:paraId="5919DFE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Undisturbed</w:t>
            </w:r>
          </w:p>
        </w:tc>
        <w:tc>
          <w:tcPr>
            <w:tcW w:w="2268" w:type="dxa"/>
            <w:tcBorders>
              <w:top w:val="nil"/>
              <w:left w:val="nil"/>
              <w:bottom w:val="single" w:sz="4" w:space="0" w:color="auto"/>
              <w:right w:val="nil"/>
            </w:tcBorders>
            <w:shd w:val="clear" w:color="auto" w:fill="auto"/>
            <w:noWrap/>
            <w:vAlign w:val="bottom"/>
            <w:hideMark/>
          </w:tcPr>
          <w:p w14:paraId="50AEEBA5"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balticus</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single" w:sz="4" w:space="0" w:color="auto"/>
              <w:right w:val="nil"/>
            </w:tcBorders>
            <w:shd w:val="clear" w:color="auto" w:fill="auto"/>
            <w:noWrap/>
            <w:vAlign w:val="bottom"/>
            <w:hideMark/>
          </w:tcPr>
          <w:p w14:paraId="6192ED29" w14:textId="67D84D52"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E64DBE">
              <w:rPr>
                <w:rFonts w:ascii="Calibri" w:eastAsia="Times New Roman" w:hAnsi="Calibri" w:cs="Calibri"/>
                <w:color w:val="000000"/>
                <w:sz w:val="24"/>
                <w:szCs w:val="24"/>
                <w:lang w:eastAsia="en-CA"/>
              </w:rPr>
              <w:t>3</w:t>
            </w:r>
          </w:p>
        </w:tc>
        <w:tc>
          <w:tcPr>
            <w:tcW w:w="271" w:type="dxa"/>
            <w:tcBorders>
              <w:top w:val="nil"/>
              <w:left w:val="nil"/>
              <w:bottom w:val="nil"/>
              <w:right w:val="nil"/>
            </w:tcBorders>
            <w:shd w:val="clear" w:color="000000" w:fill="E7E6E6"/>
            <w:noWrap/>
            <w:vAlign w:val="bottom"/>
            <w:hideMark/>
          </w:tcPr>
          <w:p w14:paraId="5CA11E07"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2C09CE1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Undisturbed</w:t>
            </w:r>
          </w:p>
        </w:tc>
        <w:tc>
          <w:tcPr>
            <w:tcW w:w="2215" w:type="dxa"/>
            <w:tcBorders>
              <w:top w:val="nil"/>
              <w:left w:val="nil"/>
              <w:bottom w:val="single" w:sz="4" w:space="0" w:color="auto"/>
              <w:right w:val="nil"/>
            </w:tcBorders>
            <w:shd w:val="clear" w:color="auto" w:fill="auto"/>
            <w:noWrap/>
            <w:vAlign w:val="bottom"/>
            <w:hideMark/>
          </w:tcPr>
          <w:p w14:paraId="0F34BA4D"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Carex lyngbyei</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single" w:sz="4" w:space="0" w:color="auto"/>
              <w:right w:val="nil"/>
            </w:tcBorders>
            <w:shd w:val="clear" w:color="auto" w:fill="auto"/>
            <w:noWrap/>
            <w:vAlign w:val="bottom"/>
            <w:hideMark/>
          </w:tcPr>
          <w:p w14:paraId="74DBE34D" w14:textId="5A5B85D2"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5E00C8">
              <w:rPr>
                <w:rFonts w:ascii="Calibri" w:eastAsia="Times New Roman" w:hAnsi="Calibri" w:cs="Calibri"/>
                <w:color w:val="000000"/>
                <w:sz w:val="24"/>
                <w:szCs w:val="24"/>
                <w:lang w:eastAsia="en-CA"/>
              </w:rPr>
              <w:t>1</w:t>
            </w:r>
          </w:p>
        </w:tc>
      </w:tr>
      <w:tr w:rsidR="00257DF2" w:rsidRPr="001D5F5D" w14:paraId="45663EBC" w14:textId="77777777" w:rsidTr="0002389B">
        <w:trPr>
          <w:trHeight w:val="288"/>
        </w:trPr>
        <w:tc>
          <w:tcPr>
            <w:tcW w:w="1701" w:type="dxa"/>
            <w:vMerge/>
            <w:tcBorders>
              <w:top w:val="nil"/>
              <w:left w:val="nil"/>
              <w:bottom w:val="single" w:sz="8" w:space="0" w:color="000000"/>
              <w:right w:val="nil"/>
            </w:tcBorders>
            <w:vAlign w:val="center"/>
            <w:hideMark/>
          </w:tcPr>
          <w:p w14:paraId="0B42F245"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4" w:space="0" w:color="auto"/>
              <w:right w:val="nil"/>
            </w:tcBorders>
            <w:shd w:val="clear" w:color="auto" w:fill="auto"/>
            <w:noWrap/>
            <w:vAlign w:val="bottom"/>
            <w:hideMark/>
          </w:tcPr>
          <w:p w14:paraId="22550674"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Carex lyngbyei</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single" w:sz="4" w:space="0" w:color="auto"/>
              <w:right w:val="nil"/>
            </w:tcBorders>
            <w:shd w:val="clear" w:color="auto" w:fill="auto"/>
            <w:noWrap/>
            <w:vAlign w:val="bottom"/>
            <w:hideMark/>
          </w:tcPr>
          <w:p w14:paraId="32E54B4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0.02</w:t>
            </w:r>
          </w:p>
        </w:tc>
        <w:tc>
          <w:tcPr>
            <w:tcW w:w="271" w:type="dxa"/>
            <w:tcBorders>
              <w:top w:val="nil"/>
              <w:left w:val="nil"/>
              <w:bottom w:val="nil"/>
              <w:right w:val="nil"/>
            </w:tcBorders>
            <w:shd w:val="clear" w:color="000000" w:fill="E7E6E6"/>
            <w:noWrap/>
            <w:vAlign w:val="bottom"/>
            <w:hideMark/>
          </w:tcPr>
          <w:p w14:paraId="218508E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07B27AC8"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4" w:space="0" w:color="auto"/>
              <w:right w:val="nil"/>
            </w:tcBorders>
            <w:shd w:val="clear" w:color="auto" w:fill="auto"/>
            <w:noWrap/>
            <w:vAlign w:val="bottom"/>
            <w:hideMark/>
          </w:tcPr>
          <w:p w14:paraId="651CF25E"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Cotula coronopifolia*</w:t>
            </w:r>
          </w:p>
        </w:tc>
        <w:tc>
          <w:tcPr>
            <w:tcW w:w="1140" w:type="dxa"/>
            <w:tcBorders>
              <w:top w:val="nil"/>
              <w:left w:val="nil"/>
              <w:bottom w:val="single" w:sz="4" w:space="0" w:color="auto"/>
              <w:right w:val="nil"/>
            </w:tcBorders>
            <w:shd w:val="clear" w:color="auto" w:fill="auto"/>
            <w:noWrap/>
            <w:vAlign w:val="bottom"/>
            <w:hideMark/>
          </w:tcPr>
          <w:p w14:paraId="228AE454"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0.03</w:t>
            </w:r>
          </w:p>
        </w:tc>
      </w:tr>
      <w:tr w:rsidR="00257DF2" w:rsidRPr="001D5F5D" w14:paraId="1340BCA2" w14:textId="77777777" w:rsidTr="0002389B">
        <w:trPr>
          <w:trHeight w:val="291"/>
        </w:trPr>
        <w:tc>
          <w:tcPr>
            <w:tcW w:w="1701" w:type="dxa"/>
            <w:vMerge/>
            <w:tcBorders>
              <w:top w:val="nil"/>
              <w:left w:val="nil"/>
              <w:bottom w:val="single" w:sz="8" w:space="0" w:color="000000"/>
              <w:right w:val="nil"/>
            </w:tcBorders>
            <w:vAlign w:val="center"/>
            <w:hideMark/>
          </w:tcPr>
          <w:p w14:paraId="7E81926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bottom"/>
            <w:hideMark/>
          </w:tcPr>
          <w:p w14:paraId="4BDB6186"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Triglochin maritima</w:t>
            </w:r>
          </w:p>
        </w:tc>
        <w:tc>
          <w:tcPr>
            <w:tcW w:w="1178" w:type="dxa"/>
            <w:tcBorders>
              <w:top w:val="nil"/>
              <w:left w:val="nil"/>
              <w:bottom w:val="single" w:sz="8" w:space="0" w:color="auto"/>
              <w:right w:val="nil"/>
            </w:tcBorders>
            <w:shd w:val="clear" w:color="auto" w:fill="auto"/>
            <w:noWrap/>
            <w:vAlign w:val="bottom"/>
            <w:hideMark/>
          </w:tcPr>
          <w:p w14:paraId="3A392A52"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nil"/>
              <w:right w:val="nil"/>
            </w:tcBorders>
            <w:shd w:val="clear" w:color="000000" w:fill="E7E6E6"/>
            <w:noWrap/>
            <w:vAlign w:val="bottom"/>
            <w:hideMark/>
          </w:tcPr>
          <w:p w14:paraId="3E19610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6EAD4B0C"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0924F9F5"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articulatus</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single" w:sz="8" w:space="0" w:color="auto"/>
              <w:right w:val="nil"/>
            </w:tcBorders>
            <w:shd w:val="clear" w:color="auto" w:fill="auto"/>
            <w:noWrap/>
            <w:vAlign w:val="bottom"/>
            <w:hideMark/>
          </w:tcPr>
          <w:p w14:paraId="6A95E360" w14:textId="21010F65"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E165A4">
              <w:rPr>
                <w:rFonts w:ascii="Calibri" w:eastAsia="Times New Roman" w:hAnsi="Calibri" w:cs="Calibri"/>
                <w:color w:val="000000"/>
                <w:sz w:val="24"/>
                <w:szCs w:val="24"/>
                <w:lang w:eastAsia="en-CA"/>
              </w:rPr>
              <w:t>5</w:t>
            </w:r>
          </w:p>
        </w:tc>
      </w:tr>
      <w:tr w:rsidR="00257DF2" w:rsidRPr="001D5F5D" w14:paraId="0D0DEEA0" w14:textId="77777777" w:rsidTr="0002389B">
        <w:trPr>
          <w:trHeight w:val="288"/>
        </w:trPr>
        <w:tc>
          <w:tcPr>
            <w:tcW w:w="1701" w:type="dxa"/>
            <w:vMerge w:val="restart"/>
            <w:tcBorders>
              <w:top w:val="nil"/>
              <w:left w:val="nil"/>
              <w:bottom w:val="single" w:sz="8" w:space="0" w:color="000000"/>
              <w:right w:val="nil"/>
            </w:tcBorders>
            <w:shd w:val="clear" w:color="auto" w:fill="auto"/>
            <w:vAlign w:val="center"/>
            <w:hideMark/>
          </w:tcPr>
          <w:p w14:paraId="359155C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10-year old exclosures</w:t>
            </w:r>
          </w:p>
        </w:tc>
        <w:tc>
          <w:tcPr>
            <w:tcW w:w="2268" w:type="dxa"/>
            <w:tcBorders>
              <w:top w:val="nil"/>
              <w:left w:val="nil"/>
              <w:bottom w:val="nil"/>
              <w:right w:val="nil"/>
            </w:tcBorders>
            <w:shd w:val="clear" w:color="auto" w:fill="auto"/>
            <w:noWrap/>
            <w:vAlign w:val="center"/>
            <w:hideMark/>
          </w:tcPr>
          <w:p w14:paraId="2393FB8C"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Agrostis stolonifera*</w:t>
            </w:r>
            <w:r w:rsidRPr="001D5F5D">
              <w:rPr>
                <w:rFonts w:ascii="Calibri" w:eastAsia="Times New Roman" w:hAnsi="Calibri" w:cs="Calibri"/>
                <w:i/>
                <w:iCs/>
                <w:color w:val="000000"/>
                <w:sz w:val="24"/>
                <w:szCs w:val="24"/>
                <w:vertAlign w:val="superscript"/>
                <w:lang w:eastAsia="en-CA"/>
              </w:rPr>
              <w:t>+</w:t>
            </w:r>
          </w:p>
        </w:tc>
        <w:tc>
          <w:tcPr>
            <w:tcW w:w="1178" w:type="dxa"/>
            <w:tcBorders>
              <w:top w:val="nil"/>
              <w:left w:val="nil"/>
              <w:bottom w:val="nil"/>
              <w:right w:val="nil"/>
            </w:tcBorders>
            <w:shd w:val="clear" w:color="auto" w:fill="auto"/>
            <w:noWrap/>
            <w:vAlign w:val="center"/>
            <w:hideMark/>
          </w:tcPr>
          <w:p w14:paraId="7F25FE4D"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c>
          <w:tcPr>
            <w:tcW w:w="271" w:type="dxa"/>
            <w:tcBorders>
              <w:top w:val="nil"/>
              <w:left w:val="nil"/>
              <w:bottom w:val="nil"/>
              <w:right w:val="nil"/>
            </w:tcBorders>
            <w:shd w:val="clear" w:color="000000" w:fill="E7E6E6"/>
            <w:noWrap/>
            <w:vAlign w:val="bottom"/>
            <w:hideMark/>
          </w:tcPr>
          <w:p w14:paraId="6F99C50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7927D370"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10-year old exclosures</w:t>
            </w:r>
          </w:p>
        </w:tc>
        <w:tc>
          <w:tcPr>
            <w:tcW w:w="2215" w:type="dxa"/>
            <w:tcBorders>
              <w:top w:val="nil"/>
              <w:left w:val="nil"/>
              <w:bottom w:val="nil"/>
              <w:right w:val="nil"/>
            </w:tcBorders>
            <w:shd w:val="clear" w:color="auto" w:fill="auto"/>
            <w:noWrap/>
            <w:vAlign w:val="bottom"/>
            <w:hideMark/>
          </w:tcPr>
          <w:p w14:paraId="07E75751"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Juncus balticus</w:t>
            </w:r>
            <w:r w:rsidRPr="001D5F5D">
              <w:rPr>
                <w:rFonts w:ascii="Calibri" w:eastAsia="Times New Roman" w:hAnsi="Calibri" w:cs="Calibri"/>
                <w:i/>
                <w:iCs/>
                <w:color w:val="000000"/>
                <w:sz w:val="24"/>
                <w:szCs w:val="24"/>
                <w:vertAlign w:val="superscript"/>
                <w:lang w:eastAsia="en-CA"/>
              </w:rPr>
              <w:t>+</w:t>
            </w:r>
          </w:p>
        </w:tc>
        <w:tc>
          <w:tcPr>
            <w:tcW w:w="1140" w:type="dxa"/>
            <w:tcBorders>
              <w:top w:val="nil"/>
              <w:left w:val="nil"/>
              <w:bottom w:val="nil"/>
              <w:right w:val="nil"/>
            </w:tcBorders>
            <w:shd w:val="clear" w:color="auto" w:fill="auto"/>
            <w:noWrap/>
            <w:vAlign w:val="bottom"/>
            <w:hideMark/>
          </w:tcPr>
          <w:p w14:paraId="510D79FE"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1F375DD1" w14:textId="77777777" w:rsidTr="0002389B">
        <w:trPr>
          <w:trHeight w:val="288"/>
        </w:trPr>
        <w:tc>
          <w:tcPr>
            <w:tcW w:w="1701" w:type="dxa"/>
            <w:vMerge/>
            <w:tcBorders>
              <w:top w:val="nil"/>
              <w:left w:val="nil"/>
              <w:bottom w:val="single" w:sz="8" w:space="0" w:color="000000"/>
              <w:right w:val="nil"/>
            </w:tcBorders>
            <w:vAlign w:val="center"/>
            <w:hideMark/>
          </w:tcPr>
          <w:p w14:paraId="6A88326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nil"/>
              <w:right w:val="nil"/>
            </w:tcBorders>
            <w:shd w:val="clear" w:color="auto" w:fill="auto"/>
            <w:noWrap/>
            <w:vAlign w:val="center"/>
            <w:hideMark/>
          </w:tcPr>
          <w:p w14:paraId="0603C304"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Potentilla pacifica</w:t>
            </w:r>
          </w:p>
        </w:tc>
        <w:tc>
          <w:tcPr>
            <w:tcW w:w="1178" w:type="dxa"/>
            <w:tcBorders>
              <w:top w:val="nil"/>
              <w:left w:val="nil"/>
              <w:bottom w:val="nil"/>
              <w:right w:val="nil"/>
            </w:tcBorders>
            <w:shd w:val="clear" w:color="auto" w:fill="auto"/>
            <w:noWrap/>
            <w:vAlign w:val="center"/>
            <w:hideMark/>
          </w:tcPr>
          <w:p w14:paraId="595D1923"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nil"/>
              <w:right w:val="nil"/>
            </w:tcBorders>
            <w:shd w:val="clear" w:color="000000" w:fill="E7E6E6"/>
            <w:noWrap/>
            <w:vAlign w:val="bottom"/>
            <w:hideMark/>
          </w:tcPr>
          <w:p w14:paraId="639A45C1"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3072E87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single" w:sz="4" w:space="0" w:color="auto"/>
              <w:left w:val="nil"/>
              <w:bottom w:val="single" w:sz="4" w:space="0" w:color="auto"/>
              <w:right w:val="nil"/>
            </w:tcBorders>
            <w:shd w:val="clear" w:color="auto" w:fill="auto"/>
            <w:noWrap/>
            <w:vAlign w:val="center"/>
            <w:hideMark/>
          </w:tcPr>
          <w:p w14:paraId="434DC20D" w14:textId="77777777" w:rsidR="00257DF2" w:rsidRPr="001D5F5D" w:rsidRDefault="00257DF2" w:rsidP="004F280B">
            <w:pPr>
              <w:spacing w:after="0" w:line="240" w:lineRule="auto"/>
              <w:rPr>
                <w:rFonts w:ascii="Calibri" w:eastAsia="Times New Roman" w:hAnsi="Calibri" w:cs="Calibri"/>
                <w:i/>
                <w:iCs/>
                <w:color w:val="000000"/>
                <w:sz w:val="24"/>
                <w:szCs w:val="24"/>
                <w:vertAlign w:val="superscript"/>
                <w:lang w:eastAsia="en-CA"/>
              </w:rPr>
            </w:pPr>
            <w:r w:rsidRPr="001D5F5D">
              <w:rPr>
                <w:rFonts w:ascii="Calibri" w:eastAsia="Times New Roman" w:hAnsi="Calibri" w:cs="Calibri"/>
                <w:i/>
                <w:iCs/>
                <w:color w:val="000000"/>
                <w:sz w:val="24"/>
                <w:szCs w:val="24"/>
                <w:lang w:eastAsia="en-CA"/>
              </w:rPr>
              <w:t>Agrostis stolonifera*</w:t>
            </w:r>
            <w:r w:rsidRPr="001D5F5D">
              <w:rPr>
                <w:rFonts w:ascii="Calibri" w:eastAsia="Times New Roman" w:hAnsi="Calibri" w:cs="Calibri"/>
                <w:i/>
                <w:iCs/>
                <w:color w:val="000000"/>
                <w:sz w:val="24"/>
                <w:szCs w:val="24"/>
                <w:vertAlign w:val="superscript"/>
                <w:lang w:eastAsia="en-CA"/>
              </w:rPr>
              <w:t>+</w:t>
            </w:r>
          </w:p>
        </w:tc>
        <w:tc>
          <w:tcPr>
            <w:tcW w:w="1140" w:type="dxa"/>
            <w:tcBorders>
              <w:top w:val="single" w:sz="4" w:space="0" w:color="auto"/>
              <w:left w:val="nil"/>
              <w:bottom w:val="single" w:sz="4" w:space="0" w:color="auto"/>
              <w:right w:val="nil"/>
            </w:tcBorders>
            <w:shd w:val="clear" w:color="auto" w:fill="auto"/>
            <w:noWrap/>
            <w:vAlign w:val="center"/>
            <w:hideMark/>
          </w:tcPr>
          <w:p w14:paraId="191A40DF"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570DFEBF" w14:textId="77777777" w:rsidTr="0002389B">
        <w:trPr>
          <w:trHeight w:val="300"/>
        </w:trPr>
        <w:tc>
          <w:tcPr>
            <w:tcW w:w="1701" w:type="dxa"/>
            <w:vMerge/>
            <w:tcBorders>
              <w:top w:val="nil"/>
              <w:left w:val="nil"/>
              <w:bottom w:val="single" w:sz="8" w:space="0" w:color="000000"/>
              <w:right w:val="nil"/>
            </w:tcBorders>
            <w:vAlign w:val="center"/>
            <w:hideMark/>
          </w:tcPr>
          <w:p w14:paraId="2A16D43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center"/>
            <w:hideMark/>
          </w:tcPr>
          <w:p w14:paraId="48D94D01"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 </w:t>
            </w:r>
          </w:p>
        </w:tc>
        <w:tc>
          <w:tcPr>
            <w:tcW w:w="1178" w:type="dxa"/>
            <w:tcBorders>
              <w:top w:val="nil"/>
              <w:left w:val="nil"/>
              <w:bottom w:val="single" w:sz="8" w:space="0" w:color="auto"/>
              <w:right w:val="nil"/>
            </w:tcBorders>
            <w:shd w:val="clear" w:color="auto" w:fill="auto"/>
            <w:noWrap/>
            <w:vAlign w:val="center"/>
            <w:hideMark/>
          </w:tcPr>
          <w:p w14:paraId="536BEA3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271" w:type="dxa"/>
            <w:tcBorders>
              <w:top w:val="nil"/>
              <w:left w:val="nil"/>
              <w:bottom w:val="nil"/>
              <w:right w:val="nil"/>
            </w:tcBorders>
            <w:shd w:val="clear" w:color="000000" w:fill="E7E6E6"/>
            <w:noWrap/>
            <w:vAlign w:val="bottom"/>
            <w:hideMark/>
          </w:tcPr>
          <w:p w14:paraId="6E052B6D"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575FE091"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14371124"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Triglochin maritima</w:t>
            </w:r>
          </w:p>
        </w:tc>
        <w:tc>
          <w:tcPr>
            <w:tcW w:w="1140" w:type="dxa"/>
            <w:tcBorders>
              <w:top w:val="nil"/>
              <w:left w:val="nil"/>
              <w:bottom w:val="single" w:sz="8" w:space="0" w:color="auto"/>
              <w:right w:val="nil"/>
            </w:tcBorders>
            <w:shd w:val="clear" w:color="auto" w:fill="auto"/>
            <w:noWrap/>
            <w:vAlign w:val="bottom"/>
            <w:hideMark/>
          </w:tcPr>
          <w:p w14:paraId="1F994C3A"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r>
      <w:tr w:rsidR="00257DF2" w:rsidRPr="001D5F5D" w14:paraId="5A45B152" w14:textId="77777777" w:rsidTr="0002389B">
        <w:trPr>
          <w:trHeight w:val="300"/>
        </w:trPr>
        <w:tc>
          <w:tcPr>
            <w:tcW w:w="1701" w:type="dxa"/>
            <w:vMerge w:val="restart"/>
            <w:tcBorders>
              <w:top w:val="nil"/>
              <w:left w:val="nil"/>
              <w:bottom w:val="single" w:sz="8" w:space="0" w:color="000000"/>
              <w:right w:val="nil"/>
            </w:tcBorders>
            <w:shd w:val="clear" w:color="auto" w:fill="auto"/>
            <w:vAlign w:val="center"/>
            <w:hideMark/>
          </w:tcPr>
          <w:p w14:paraId="4EF2CFA2"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1-year old exclosures</w:t>
            </w:r>
          </w:p>
        </w:tc>
        <w:tc>
          <w:tcPr>
            <w:tcW w:w="2268" w:type="dxa"/>
            <w:tcBorders>
              <w:top w:val="nil"/>
              <w:left w:val="nil"/>
              <w:bottom w:val="single" w:sz="4" w:space="0" w:color="auto"/>
              <w:right w:val="nil"/>
            </w:tcBorders>
            <w:shd w:val="clear" w:color="auto" w:fill="auto"/>
            <w:noWrap/>
            <w:vAlign w:val="bottom"/>
            <w:hideMark/>
          </w:tcPr>
          <w:p w14:paraId="5414696B"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Spergularia canadensis</w:t>
            </w:r>
          </w:p>
        </w:tc>
        <w:tc>
          <w:tcPr>
            <w:tcW w:w="1178" w:type="dxa"/>
            <w:tcBorders>
              <w:top w:val="nil"/>
              <w:left w:val="nil"/>
              <w:bottom w:val="single" w:sz="4" w:space="0" w:color="auto"/>
              <w:right w:val="nil"/>
            </w:tcBorders>
            <w:shd w:val="clear" w:color="auto" w:fill="auto"/>
            <w:noWrap/>
            <w:vAlign w:val="bottom"/>
            <w:hideMark/>
          </w:tcPr>
          <w:p w14:paraId="2E1D1978" w14:textId="6CF41829"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764989">
              <w:rPr>
                <w:rFonts w:ascii="Calibri" w:eastAsia="Times New Roman" w:hAnsi="Calibri" w:cs="Calibri"/>
                <w:color w:val="000000"/>
                <w:sz w:val="24"/>
                <w:szCs w:val="24"/>
                <w:lang w:eastAsia="en-CA"/>
              </w:rPr>
              <w:t>3</w:t>
            </w:r>
          </w:p>
        </w:tc>
        <w:tc>
          <w:tcPr>
            <w:tcW w:w="271" w:type="dxa"/>
            <w:tcBorders>
              <w:top w:val="nil"/>
              <w:left w:val="nil"/>
              <w:bottom w:val="nil"/>
              <w:right w:val="nil"/>
            </w:tcBorders>
            <w:shd w:val="clear" w:color="000000" w:fill="E7E6E6"/>
            <w:noWrap/>
            <w:vAlign w:val="bottom"/>
            <w:hideMark/>
          </w:tcPr>
          <w:p w14:paraId="2D66E424"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8" w:space="0" w:color="000000"/>
              <w:right w:val="nil"/>
            </w:tcBorders>
            <w:shd w:val="clear" w:color="auto" w:fill="auto"/>
            <w:vAlign w:val="center"/>
            <w:hideMark/>
          </w:tcPr>
          <w:p w14:paraId="5F4B00DC"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1-year old exclosures</w:t>
            </w:r>
          </w:p>
        </w:tc>
        <w:tc>
          <w:tcPr>
            <w:tcW w:w="2215" w:type="dxa"/>
            <w:tcBorders>
              <w:top w:val="nil"/>
              <w:left w:val="nil"/>
              <w:bottom w:val="nil"/>
              <w:right w:val="nil"/>
            </w:tcBorders>
            <w:shd w:val="clear" w:color="auto" w:fill="auto"/>
            <w:noWrap/>
            <w:vAlign w:val="bottom"/>
            <w:hideMark/>
          </w:tcPr>
          <w:p w14:paraId="5B6CD236"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r>
              <w:rPr>
                <w:rFonts w:ascii="Calibri" w:eastAsia="Times New Roman" w:hAnsi="Calibri" w:cs="Calibri"/>
                <w:color w:val="000000"/>
                <w:sz w:val="24"/>
                <w:szCs w:val="24"/>
                <w:lang w:eastAsia="en-CA"/>
              </w:rPr>
              <w:t>None</w:t>
            </w:r>
          </w:p>
        </w:tc>
        <w:tc>
          <w:tcPr>
            <w:tcW w:w="1140" w:type="dxa"/>
            <w:tcBorders>
              <w:top w:val="nil"/>
              <w:left w:val="nil"/>
              <w:bottom w:val="nil"/>
              <w:right w:val="nil"/>
            </w:tcBorders>
            <w:shd w:val="clear" w:color="auto" w:fill="auto"/>
            <w:noWrap/>
            <w:vAlign w:val="bottom"/>
            <w:hideMark/>
          </w:tcPr>
          <w:p w14:paraId="78C936BC"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r w:rsidR="00257DF2" w:rsidRPr="001D5F5D" w14:paraId="4E6D2FC7" w14:textId="77777777" w:rsidTr="0002389B">
        <w:trPr>
          <w:trHeight w:val="300"/>
        </w:trPr>
        <w:tc>
          <w:tcPr>
            <w:tcW w:w="1701" w:type="dxa"/>
            <w:vMerge/>
            <w:tcBorders>
              <w:top w:val="nil"/>
              <w:left w:val="nil"/>
              <w:bottom w:val="single" w:sz="8" w:space="0" w:color="000000"/>
              <w:right w:val="nil"/>
            </w:tcBorders>
            <w:vAlign w:val="center"/>
            <w:hideMark/>
          </w:tcPr>
          <w:p w14:paraId="3EB08DB3"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8" w:space="0" w:color="auto"/>
              <w:right w:val="nil"/>
            </w:tcBorders>
            <w:shd w:val="clear" w:color="auto" w:fill="auto"/>
            <w:noWrap/>
            <w:vAlign w:val="bottom"/>
            <w:hideMark/>
          </w:tcPr>
          <w:p w14:paraId="1638EFFC"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Glaux maritima</w:t>
            </w:r>
          </w:p>
        </w:tc>
        <w:tc>
          <w:tcPr>
            <w:tcW w:w="1178" w:type="dxa"/>
            <w:tcBorders>
              <w:top w:val="nil"/>
              <w:left w:val="nil"/>
              <w:bottom w:val="single" w:sz="8" w:space="0" w:color="auto"/>
              <w:right w:val="nil"/>
            </w:tcBorders>
            <w:shd w:val="clear" w:color="auto" w:fill="auto"/>
            <w:noWrap/>
            <w:vAlign w:val="bottom"/>
            <w:hideMark/>
          </w:tcPr>
          <w:p w14:paraId="215B55DD" w14:textId="17E8CDA1"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w:t>
            </w:r>
            <w:r w:rsidR="00764989">
              <w:rPr>
                <w:rFonts w:ascii="Calibri" w:eastAsia="Times New Roman" w:hAnsi="Calibri" w:cs="Calibri"/>
                <w:color w:val="000000"/>
                <w:sz w:val="24"/>
                <w:szCs w:val="24"/>
                <w:lang w:eastAsia="en-CA"/>
              </w:rPr>
              <w:t>4</w:t>
            </w:r>
          </w:p>
        </w:tc>
        <w:tc>
          <w:tcPr>
            <w:tcW w:w="271" w:type="dxa"/>
            <w:tcBorders>
              <w:top w:val="nil"/>
              <w:left w:val="nil"/>
              <w:bottom w:val="nil"/>
              <w:right w:val="nil"/>
            </w:tcBorders>
            <w:shd w:val="clear" w:color="000000" w:fill="E7E6E6"/>
            <w:noWrap/>
            <w:vAlign w:val="center"/>
            <w:hideMark/>
          </w:tcPr>
          <w:p w14:paraId="47F9C56B"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8" w:space="0" w:color="000000"/>
              <w:right w:val="nil"/>
            </w:tcBorders>
            <w:vAlign w:val="center"/>
            <w:hideMark/>
          </w:tcPr>
          <w:p w14:paraId="5417744F"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8" w:space="0" w:color="auto"/>
              <w:right w:val="nil"/>
            </w:tcBorders>
            <w:shd w:val="clear" w:color="auto" w:fill="auto"/>
            <w:noWrap/>
            <w:vAlign w:val="bottom"/>
            <w:hideMark/>
          </w:tcPr>
          <w:p w14:paraId="22D5DDC2"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140" w:type="dxa"/>
            <w:tcBorders>
              <w:top w:val="nil"/>
              <w:left w:val="nil"/>
              <w:bottom w:val="single" w:sz="8" w:space="0" w:color="auto"/>
              <w:right w:val="nil"/>
            </w:tcBorders>
            <w:shd w:val="clear" w:color="auto" w:fill="auto"/>
            <w:noWrap/>
            <w:vAlign w:val="bottom"/>
            <w:hideMark/>
          </w:tcPr>
          <w:p w14:paraId="01A913E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r w:rsidR="00257DF2" w:rsidRPr="001D5F5D" w14:paraId="5F656107" w14:textId="77777777" w:rsidTr="0002389B">
        <w:trPr>
          <w:trHeight w:val="288"/>
        </w:trPr>
        <w:tc>
          <w:tcPr>
            <w:tcW w:w="1701" w:type="dxa"/>
            <w:vMerge w:val="restart"/>
            <w:tcBorders>
              <w:top w:val="nil"/>
              <w:left w:val="nil"/>
              <w:bottom w:val="single" w:sz="4" w:space="0" w:color="000000"/>
              <w:right w:val="nil"/>
            </w:tcBorders>
            <w:shd w:val="clear" w:color="auto" w:fill="auto"/>
            <w:vAlign w:val="center"/>
            <w:hideMark/>
          </w:tcPr>
          <w:p w14:paraId="4DCEBB3D"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Grubbed</w:t>
            </w:r>
          </w:p>
        </w:tc>
        <w:tc>
          <w:tcPr>
            <w:tcW w:w="2268" w:type="dxa"/>
            <w:tcBorders>
              <w:top w:val="nil"/>
              <w:left w:val="nil"/>
              <w:bottom w:val="single" w:sz="4" w:space="0" w:color="auto"/>
              <w:right w:val="nil"/>
            </w:tcBorders>
            <w:shd w:val="clear" w:color="auto" w:fill="auto"/>
            <w:noWrap/>
            <w:vAlign w:val="bottom"/>
            <w:hideMark/>
          </w:tcPr>
          <w:p w14:paraId="0EF1DF37"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Eleocharis parvula</w:t>
            </w:r>
          </w:p>
        </w:tc>
        <w:tc>
          <w:tcPr>
            <w:tcW w:w="1178" w:type="dxa"/>
            <w:tcBorders>
              <w:top w:val="nil"/>
              <w:left w:val="nil"/>
              <w:bottom w:val="single" w:sz="4" w:space="0" w:color="auto"/>
              <w:right w:val="nil"/>
            </w:tcBorders>
            <w:shd w:val="clear" w:color="auto" w:fill="auto"/>
            <w:noWrap/>
            <w:vAlign w:val="bottom"/>
            <w:hideMark/>
          </w:tcPr>
          <w:p w14:paraId="700D0277"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c>
          <w:tcPr>
            <w:tcW w:w="271" w:type="dxa"/>
            <w:tcBorders>
              <w:top w:val="nil"/>
              <w:left w:val="nil"/>
              <w:bottom w:val="nil"/>
              <w:right w:val="nil"/>
            </w:tcBorders>
            <w:shd w:val="clear" w:color="000000" w:fill="E7E6E6"/>
            <w:noWrap/>
            <w:vAlign w:val="bottom"/>
            <w:hideMark/>
          </w:tcPr>
          <w:p w14:paraId="3E2485FE"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val="restart"/>
            <w:tcBorders>
              <w:top w:val="nil"/>
              <w:left w:val="nil"/>
              <w:bottom w:val="single" w:sz="4" w:space="0" w:color="000000"/>
              <w:right w:val="nil"/>
            </w:tcBorders>
            <w:shd w:val="clear" w:color="auto" w:fill="auto"/>
            <w:vAlign w:val="center"/>
            <w:hideMark/>
          </w:tcPr>
          <w:p w14:paraId="1A35375E"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Grubbed</w:t>
            </w:r>
          </w:p>
        </w:tc>
        <w:tc>
          <w:tcPr>
            <w:tcW w:w="2215" w:type="dxa"/>
            <w:tcBorders>
              <w:top w:val="nil"/>
              <w:left w:val="nil"/>
              <w:bottom w:val="nil"/>
              <w:right w:val="nil"/>
            </w:tcBorders>
            <w:shd w:val="clear" w:color="auto" w:fill="auto"/>
            <w:noWrap/>
            <w:vAlign w:val="center"/>
            <w:hideMark/>
          </w:tcPr>
          <w:p w14:paraId="0699DFAD"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Salicornia depressa</w:t>
            </w:r>
          </w:p>
        </w:tc>
        <w:tc>
          <w:tcPr>
            <w:tcW w:w="1140" w:type="dxa"/>
            <w:tcBorders>
              <w:top w:val="nil"/>
              <w:left w:val="nil"/>
              <w:bottom w:val="nil"/>
              <w:right w:val="nil"/>
            </w:tcBorders>
            <w:shd w:val="clear" w:color="auto" w:fill="auto"/>
            <w:noWrap/>
            <w:vAlign w:val="center"/>
            <w:hideMark/>
          </w:tcPr>
          <w:p w14:paraId="5826B11C" w14:textId="1AB594E6" w:rsidR="00257DF2" w:rsidRPr="001D5F5D" w:rsidRDefault="00E165A4"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&lt; 0.01</w:t>
            </w:r>
          </w:p>
        </w:tc>
      </w:tr>
      <w:tr w:rsidR="00257DF2" w:rsidRPr="001D5F5D" w14:paraId="5C07BD91" w14:textId="77777777" w:rsidTr="0002389B">
        <w:trPr>
          <w:trHeight w:val="288"/>
        </w:trPr>
        <w:tc>
          <w:tcPr>
            <w:tcW w:w="1701" w:type="dxa"/>
            <w:vMerge/>
            <w:tcBorders>
              <w:top w:val="nil"/>
              <w:left w:val="nil"/>
              <w:bottom w:val="single" w:sz="4" w:space="0" w:color="000000"/>
              <w:right w:val="nil"/>
            </w:tcBorders>
            <w:vAlign w:val="center"/>
            <w:hideMark/>
          </w:tcPr>
          <w:p w14:paraId="4F482BEC"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68" w:type="dxa"/>
            <w:tcBorders>
              <w:top w:val="nil"/>
              <w:left w:val="nil"/>
              <w:bottom w:val="single" w:sz="4" w:space="0" w:color="auto"/>
              <w:right w:val="nil"/>
            </w:tcBorders>
            <w:shd w:val="clear" w:color="auto" w:fill="auto"/>
            <w:noWrap/>
            <w:vAlign w:val="bottom"/>
            <w:hideMark/>
          </w:tcPr>
          <w:p w14:paraId="1EC9E988"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Cotula coronopifolia*</w:t>
            </w:r>
          </w:p>
        </w:tc>
        <w:tc>
          <w:tcPr>
            <w:tcW w:w="1178" w:type="dxa"/>
            <w:tcBorders>
              <w:top w:val="nil"/>
              <w:left w:val="nil"/>
              <w:bottom w:val="single" w:sz="4" w:space="0" w:color="auto"/>
              <w:right w:val="nil"/>
            </w:tcBorders>
            <w:shd w:val="clear" w:color="auto" w:fill="auto"/>
            <w:noWrap/>
            <w:vAlign w:val="bottom"/>
            <w:hideMark/>
          </w:tcPr>
          <w:p w14:paraId="4310D65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0.04</w:t>
            </w:r>
          </w:p>
        </w:tc>
        <w:tc>
          <w:tcPr>
            <w:tcW w:w="271" w:type="dxa"/>
            <w:tcBorders>
              <w:top w:val="nil"/>
              <w:left w:val="nil"/>
              <w:bottom w:val="single" w:sz="4" w:space="0" w:color="auto"/>
              <w:right w:val="nil"/>
            </w:tcBorders>
            <w:shd w:val="clear" w:color="000000" w:fill="E7E6E6"/>
            <w:noWrap/>
            <w:vAlign w:val="bottom"/>
            <w:hideMark/>
          </w:tcPr>
          <w:p w14:paraId="77FC33A0"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c>
          <w:tcPr>
            <w:tcW w:w="1575" w:type="dxa"/>
            <w:vMerge/>
            <w:tcBorders>
              <w:top w:val="nil"/>
              <w:left w:val="nil"/>
              <w:bottom w:val="single" w:sz="4" w:space="0" w:color="000000"/>
              <w:right w:val="nil"/>
            </w:tcBorders>
            <w:vAlign w:val="center"/>
            <w:hideMark/>
          </w:tcPr>
          <w:p w14:paraId="215587C6" w14:textId="77777777" w:rsidR="00257DF2" w:rsidRPr="001D5F5D" w:rsidRDefault="00257DF2" w:rsidP="004F280B">
            <w:pPr>
              <w:spacing w:after="0" w:line="240" w:lineRule="auto"/>
              <w:rPr>
                <w:rFonts w:ascii="Calibri" w:eastAsia="Times New Roman" w:hAnsi="Calibri" w:cs="Calibri"/>
                <w:color w:val="000000"/>
                <w:sz w:val="24"/>
                <w:szCs w:val="24"/>
                <w:lang w:eastAsia="en-CA"/>
              </w:rPr>
            </w:pPr>
          </w:p>
        </w:tc>
        <w:tc>
          <w:tcPr>
            <w:tcW w:w="2215" w:type="dxa"/>
            <w:tcBorders>
              <w:top w:val="nil"/>
              <w:left w:val="nil"/>
              <w:bottom w:val="single" w:sz="4" w:space="0" w:color="auto"/>
              <w:right w:val="nil"/>
            </w:tcBorders>
            <w:shd w:val="clear" w:color="auto" w:fill="auto"/>
            <w:noWrap/>
            <w:vAlign w:val="center"/>
            <w:hideMark/>
          </w:tcPr>
          <w:p w14:paraId="69467A23" w14:textId="77777777" w:rsidR="00257DF2" w:rsidRPr="001D5F5D" w:rsidRDefault="00257DF2" w:rsidP="004F280B">
            <w:pPr>
              <w:spacing w:after="0" w:line="240" w:lineRule="auto"/>
              <w:rPr>
                <w:rFonts w:ascii="Calibri" w:eastAsia="Times New Roman" w:hAnsi="Calibri" w:cs="Calibri"/>
                <w:i/>
                <w:iCs/>
                <w:color w:val="000000"/>
                <w:sz w:val="24"/>
                <w:szCs w:val="24"/>
                <w:lang w:eastAsia="en-CA"/>
              </w:rPr>
            </w:pPr>
            <w:r w:rsidRPr="001D5F5D">
              <w:rPr>
                <w:rFonts w:ascii="Calibri" w:eastAsia="Times New Roman" w:hAnsi="Calibri" w:cs="Calibri"/>
                <w:i/>
                <w:iCs/>
                <w:color w:val="000000"/>
                <w:sz w:val="24"/>
                <w:szCs w:val="24"/>
                <w:lang w:eastAsia="en-CA"/>
              </w:rPr>
              <w:t> </w:t>
            </w:r>
          </w:p>
        </w:tc>
        <w:tc>
          <w:tcPr>
            <w:tcW w:w="1140" w:type="dxa"/>
            <w:tcBorders>
              <w:top w:val="nil"/>
              <w:left w:val="nil"/>
              <w:bottom w:val="single" w:sz="4" w:space="0" w:color="auto"/>
              <w:right w:val="nil"/>
            </w:tcBorders>
            <w:shd w:val="clear" w:color="auto" w:fill="auto"/>
            <w:noWrap/>
            <w:vAlign w:val="center"/>
            <w:hideMark/>
          </w:tcPr>
          <w:p w14:paraId="4FC88E4B" w14:textId="77777777" w:rsidR="00257DF2" w:rsidRPr="001D5F5D" w:rsidRDefault="00257DF2" w:rsidP="004F280B">
            <w:pPr>
              <w:spacing w:after="0" w:line="240" w:lineRule="auto"/>
              <w:jc w:val="center"/>
              <w:rPr>
                <w:rFonts w:ascii="Calibri" w:eastAsia="Times New Roman" w:hAnsi="Calibri" w:cs="Calibri"/>
                <w:color w:val="000000"/>
                <w:sz w:val="24"/>
                <w:szCs w:val="24"/>
                <w:lang w:eastAsia="en-CA"/>
              </w:rPr>
            </w:pPr>
            <w:r w:rsidRPr="001D5F5D">
              <w:rPr>
                <w:rFonts w:ascii="Calibri" w:eastAsia="Times New Roman" w:hAnsi="Calibri" w:cs="Calibri"/>
                <w:color w:val="000000"/>
                <w:sz w:val="24"/>
                <w:szCs w:val="24"/>
                <w:lang w:eastAsia="en-CA"/>
              </w:rPr>
              <w:t> </w:t>
            </w:r>
          </w:p>
        </w:tc>
      </w:tr>
    </w:tbl>
    <w:p w14:paraId="30005A37" w14:textId="77777777" w:rsidR="00257DF2" w:rsidRPr="001D5F5D" w:rsidRDefault="00257DF2" w:rsidP="007E7955">
      <w:pPr>
        <w:spacing w:line="480" w:lineRule="auto"/>
        <w:ind w:firstLine="720"/>
        <w:rPr>
          <w:rFonts w:cstheme="minorHAnsi"/>
          <w:sz w:val="24"/>
          <w:szCs w:val="24"/>
        </w:rPr>
      </w:pPr>
    </w:p>
    <w:p w14:paraId="1891B119" w14:textId="77777777" w:rsidR="00257DF2" w:rsidRPr="001D5F5D" w:rsidRDefault="00257DF2" w:rsidP="007E7955">
      <w:pPr>
        <w:spacing w:line="480" w:lineRule="auto"/>
        <w:ind w:firstLine="720"/>
        <w:rPr>
          <w:rFonts w:cstheme="minorHAnsi"/>
          <w:sz w:val="24"/>
          <w:szCs w:val="24"/>
        </w:rPr>
      </w:pPr>
    </w:p>
    <w:p w14:paraId="2668D9CA" w14:textId="77777777" w:rsidR="00257DF2" w:rsidRPr="001D5F5D" w:rsidRDefault="00257DF2" w:rsidP="007E7955">
      <w:pPr>
        <w:spacing w:line="480" w:lineRule="auto"/>
        <w:rPr>
          <w:rFonts w:cstheme="minorHAnsi"/>
          <w:sz w:val="24"/>
          <w:szCs w:val="24"/>
        </w:rPr>
      </w:pPr>
    </w:p>
    <w:p w14:paraId="1F77F160" w14:textId="15AD3009" w:rsidR="00257DF2" w:rsidRPr="001D5F5D" w:rsidRDefault="00257DF2" w:rsidP="007E7955">
      <w:pPr>
        <w:keepNext/>
        <w:spacing w:line="480" w:lineRule="auto"/>
        <w:rPr>
          <w:rFonts w:cstheme="minorHAnsi"/>
          <w:sz w:val="24"/>
          <w:szCs w:val="24"/>
        </w:rPr>
      </w:pPr>
    </w:p>
    <w:p w14:paraId="2028CA19" w14:textId="77777777" w:rsidR="004F280B" w:rsidRDefault="004F280B">
      <w:pPr>
        <w:rPr>
          <w:rFonts w:cstheme="minorHAnsi"/>
          <w:b/>
          <w:bCs/>
          <w:kern w:val="0"/>
          <w:sz w:val="24"/>
          <w:szCs w:val="24"/>
          <w:lang w:val="en-US"/>
          <w14:ligatures w14:val="none"/>
        </w:rPr>
      </w:pPr>
      <w:bookmarkStart w:id="21" w:name="_Ref137732323"/>
      <w:bookmarkStart w:id="22" w:name="_Toc137735458"/>
      <w:r>
        <w:rPr>
          <w:rFonts w:cstheme="minorHAnsi"/>
          <w:b/>
          <w:bCs/>
          <w:kern w:val="0"/>
          <w:sz w:val="24"/>
          <w:szCs w:val="24"/>
          <w:lang w:val="en-US"/>
          <w14:ligatures w14:val="none"/>
        </w:rPr>
        <w:br w:type="page"/>
      </w:r>
    </w:p>
    <w:p w14:paraId="5773C54B" w14:textId="018681A8" w:rsidR="00257DF2" w:rsidRPr="008D159A" w:rsidRDefault="003A21A9" w:rsidP="007E7955">
      <w:pPr>
        <w:spacing w:line="480" w:lineRule="auto"/>
        <w:rPr>
          <w:rFonts w:cstheme="minorHAnsi"/>
          <w:i/>
          <w:iCs/>
          <w:sz w:val="24"/>
          <w:szCs w:val="24"/>
        </w:rPr>
      </w:pPr>
      <w:r w:rsidRPr="008D159A">
        <w:rPr>
          <w:rFonts w:cstheme="minorHAnsi"/>
          <w:b/>
          <w:bCs/>
          <w:kern w:val="0"/>
          <w:sz w:val="24"/>
          <w:szCs w:val="24"/>
          <w:lang w:val="en-US"/>
          <w14:ligatures w14:val="none"/>
        </w:rPr>
        <w:lastRenderedPageBreak/>
        <w:t>Fig. 5</w:t>
      </w:r>
      <w:r w:rsidR="00257DF2" w:rsidRPr="008D159A">
        <w:rPr>
          <w:rFonts w:cstheme="minorHAnsi"/>
          <w:i/>
          <w:iCs/>
          <w:kern w:val="0"/>
          <w:sz w:val="24"/>
          <w:szCs w:val="24"/>
          <w:lang w:val="en-US"/>
          <w14:ligatures w14:val="none"/>
        </w:rPr>
        <w:t xml:space="preserve"> Mean relative abundance of species identified in indicator species analysis in above-ground vegetation and surface seed bank at each estuary sampled. Non-native species indicated with (*). Notably, abundance of key native TPGs such as Carex lyngbyei are absent from the seed bank, while others such as Juncus balticus are dominant (&gt; 25% relative abundance) in the seed bank but not dominant in above-ground vegetation, such as observed in 10-year old exclosures at Little Qualicum Estuary</w:t>
      </w:r>
      <w:bookmarkEnd w:id="21"/>
      <w:bookmarkEnd w:id="22"/>
    </w:p>
    <w:p w14:paraId="0F64AAC9" w14:textId="77777777" w:rsidR="00257DF2" w:rsidRDefault="00257DF2" w:rsidP="007E7955">
      <w:pPr>
        <w:spacing w:line="480" w:lineRule="auto"/>
        <w:ind w:firstLine="720"/>
        <w:rPr>
          <w:rFonts w:cstheme="minorHAnsi"/>
          <w:sz w:val="24"/>
          <w:szCs w:val="24"/>
        </w:rPr>
      </w:pPr>
    </w:p>
    <w:p w14:paraId="23F8A103" w14:textId="3208DB64" w:rsidR="00257DF2" w:rsidRPr="001D5F5D" w:rsidRDefault="00257DF2" w:rsidP="007E7955">
      <w:pPr>
        <w:spacing w:line="480" w:lineRule="auto"/>
        <w:ind w:firstLine="720"/>
        <w:rPr>
          <w:rFonts w:cstheme="minorHAnsi"/>
          <w:sz w:val="24"/>
          <w:szCs w:val="24"/>
        </w:rPr>
      </w:pPr>
      <w:r w:rsidRPr="001D5F5D">
        <w:rPr>
          <w:rFonts w:cstheme="minorHAnsi"/>
          <w:sz w:val="24"/>
          <w:szCs w:val="24"/>
        </w:rPr>
        <w:t>Grubbed sites in both estuaries (n = 8) and 1-year old exclosures in the Nanaimo River Estuary (NRE, n = 4) shared common dominant species, however only the 1-year old exclosures were dominated by a single TPG (</w:t>
      </w:r>
      <w:r w:rsidRPr="001D5F5D">
        <w:rPr>
          <w:rFonts w:cstheme="minorHAnsi"/>
          <w:i/>
          <w:iCs/>
          <w:sz w:val="24"/>
          <w:szCs w:val="24"/>
        </w:rPr>
        <w:t>C. lyngbyei</w:t>
      </w:r>
      <w:r w:rsidRPr="001D5F5D">
        <w:rPr>
          <w:rFonts w:cstheme="minorHAnsi"/>
          <w:sz w:val="24"/>
          <w:szCs w:val="24"/>
        </w:rPr>
        <w:t xml:space="preserve">). In Grubbed sites, dominant species in both estuaries included native species </w:t>
      </w:r>
      <w:r w:rsidRPr="001D5F5D">
        <w:rPr>
          <w:rFonts w:cstheme="minorHAnsi"/>
          <w:i/>
          <w:iCs/>
          <w:sz w:val="24"/>
          <w:szCs w:val="24"/>
        </w:rPr>
        <w:t>Eleocharis parvula</w:t>
      </w:r>
      <w:r w:rsidRPr="001D5F5D">
        <w:rPr>
          <w:rFonts w:cstheme="minorHAnsi"/>
          <w:sz w:val="24"/>
          <w:szCs w:val="24"/>
        </w:rPr>
        <w:t xml:space="preserve"> (very short perennial graminoid, &lt; 10 cm tall) and </w:t>
      </w:r>
      <w:r w:rsidRPr="001D5F5D">
        <w:rPr>
          <w:rFonts w:cstheme="minorHAnsi"/>
          <w:i/>
          <w:iCs/>
          <w:sz w:val="24"/>
          <w:szCs w:val="24"/>
        </w:rPr>
        <w:t xml:space="preserve">Glaux maritima </w:t>
      </w:r>
      <w:r w:rsidRPr="001D5F5D">
        <w:rPr>
          <w:rFonts w:cstheme="minorHAnsi"/>
          <w:sz w:val="24"/>
          <w:szCs w:val="24"/>
        </w:rPr>
        <w:t xml:space="preserve">(short perennial forb, &lt; 30 cm tall), with the additional dominant native species </w:t>
      </w:r>
      <w:r w:rsidRPr="001D5F5D">
        <w:rPr>
          <w:rFonts w:cstheme="minorHAnsi"/>
          <w:i/>
          <w:iCs/>
          <w:sz w:val="24"/>
          <w:szCs w:val="24"/>
        </w:rPr>
        <w:t>Spergularia canadensis</w:t>
      </w:r>
      <w:r w:rsidRPr="001D5F5D">
        <w:rPr>
          <w:rFonts w:cstheme="minorHAnsi"/>
          <w:sz w:val="24"/>
          <w:szCs w:val="24"/>
        </w:rPr>
        <w:t xml:space="preserve"> (short annual forb, &lt; 30 cm tall) in LQRE (</w:t>
      </w:r>
      <w:r w:rsidR="008503D9">
        <w:rPr>
          <w:rFonts w:cstheme="minorHAnsi"/>
          <w:sz w:val="24"/>
          <w:szCs w:val="24"/>
        </w:rPr>
        <w:t>Fig. 5</w:t>
      </w:r>
      <w:r w:rsidRPr="001D5F5D">
        <w:rPr>
          <w:rFonts w:cstheme="minorHAnsi"/>
          <w:sz w:val="24"/>
          <w:szCs w:val="24"/>
        </w:rPr>
        <w:t>). In NRE, 1-year old exclosures were dominated by the same species as in all Grubbed sites (</w:t>
      </w:r>
      <w:r w:rsidRPr="001D5F5D">
        <w:rPr>
          <w:rFonts w:cstheme="minorHAnsi"/>
          <w:i/>
          <w:iCs/>
          <w:sz w:val="24"/>
          <w:szCs w:val="24"/>
        </w:rPr>
        <w:t>E. parvula, G. maritima, S. canadensis</w:t>
      </w:r>
      <w:r w:rsidRPr="001D5F5D">
        <w:rPr>
          <w:rFonts w:cstheme="minorHAnsi"/>
          <w:sz w:val="24"/>
          <w:szCs w:val="24"/>
        </w:rPr>
        <w:t xml:space="preserve">), but remnant TPG species </w:t>
      </w:r>
      <w:r w:rsidRPr="001D5F5D">
        <w:rPr>
          <w:rFonts w:cstheme="minorHAnsi"/>
          <w:i/>
          <w:iCs/>
          <w:sz w:val="24"/>
          <w:szCs w:val="24"/>
        </w:rPr>
        <w:t xml:space="preserve">C. lyngbyei </w:t>
      </w:r>
      <w:r w:rsidRPr="001D5F5D">
        <w:rPr>
          <w:rFonts w:cstheme="minorHAnsi"/>
          <w:sz w:val="24"/>
          <w:szCs w:val="24"/>
        </w:rPr>
        <w:t>also maintained cover dominance in above-ground vegetation (</w:t>
      </w:r>
      <w:r w:rsidR="008503D9">
        <w:rPr>
          <w:rFonts w:cstheme="minorHAnsi"/>
          <w:sz w:val="24"/>
          <w:szCs w:val="24"/>
        </w:rPr>
        <w:t>Fig. 5</w:t>
      </w:r>
      <w:r w:rsidRPr="001D5F5D">
        <w:rPr>
          <w:rFonts w:cstheme="minorHAnsi"/>
          <w:sz w:val="24"/>
          <w:szCs w:val="24"/>
        </w:rPr>
        <w:t xml:space="preserve">). </w:t>
      </w:r>
    </w:p>
    <w:p w14:paraId="1445A837" w14:textId="50EC83BB" w:rsidR="00257DF2" w:rsidRPr="001D5F5D" w:rsidRDefault="00257DF2" w:rsidP="007E7955">
      <w:pPr>
        <w:spacing w:line="480" w:lineRule="auto"/>
        <w:ind w:firstLine="720"/>
        <w:rPr>
          <w:rFonts w:cstheme="minorHAnsi"/>
          <w:sz w:val="24"/>
          <w:szCs w:val="24"/>
        </w:rPr>
      </w:pPr>
      <w:r w:rsidRPr="001D5F5D">
        <w:rPr>
          <w:rFonts w:cstheme="minorHAnsi"/>
          <w:sz w:val="24"/>
          <w:szCs w:val="24"/>
        </w:rPr>
        <w:t xml:space="preserve">Indicator species analysis identified </w:t>
      </w:r>
      <w:r w:rsidRPr="001D5F5D">
        <w:rPr>
          <w:rFonts w:cstheme="minorHAnsi"/>
          <w:i/>
          <w:iCs/>
          <w:sz w:val="24"/>
          <w:szCs w:val="24"/>
        </w:rPr>
        <w:t xml:space="preserve">S. canadensis </w:t>
      </w:r>
      <w:r w:rsidRPr="001D5F5D">
        <w:rPr>
          <w:rFonts w:cstheme="minorHAnsi"/>
          <w:sz w:val="24"/>
          <w:szCs w:val="24"/>
        </w:rPr>
        <w:t xml:space="preserve">and </w:t>
      </w:r>
      <w:r w:rsidRPr="001D5F5D">
        <w:rPr>
          <w:rFonts w:cstheme="minorHAnsi"/>
          <w:i/>
          <w:iCs/>
          <w:sz w:val="24"/>
          <w:szCs w:val="24"/>
        </w:rPr>
        <w:t>G. maritima</w:t>
      </w:r>
      <w:r w:rsidRPr="001D5F5D">
        <w:rPr>
          <w:sz w:val="24"/>
          <w:szCs w:val="24"/>
        </w:rPr>
        <w:t xml:space="preserve"> as species significantly characterizing 1-year old exclosures, while native, short graminoid </w:t>
      </w:r>
      <w:r w:rsidRPr="001D5F5D">
        <w:rPr>
          <w:i/>
          <w:iCs/>
          <w:sz w:val="24"/>
          <w:szCs w:val="24"/>
        </w:rPr>
        <w:t xml:space="preserve">E. parvula </w:t>
      </w:r>
      <w:r w:rsidRPr="001D5F5D">
        <w:rPr>
          <w:sz w:val="24"/>
          <w:szCs w:val="24"/>
        </w:rPr>
        <w:t xml:space="preserve">and non-native forb </w:t>
      </w:r>
      <w:r w:rsidRPr="001D5F5D">
        <w:rPr>
          <w:i/>
          <w:iCs/>
          <w:sz w:val="24"/>
          <w:szCs w:val="24"/>
        </w:rPr>
        <w:t xml:space="preserve">Cotula coronopifolia </w:t>
      </w:r>
      <w:r w:rsidRPr="001D5F5D">
        <w:rPr>
          <w:sz w:val="24"/>
          <w:szCs w:val="24"/>
        </w:rPr>
        <w:t xml:space="preserve">(short (&lt; 30 cm) perennial forb) significantly characterized just the Grubbed sites </w:t>
      </w:r>
      <w:r>
        <w:rPr>
          <w:sz w:val="24"/>
          <w:szCs w:val="24"/>
        </w:rPr>
        <w:t>(Table 4)</w:t>
      </w:r>
      <w:r w:rsidRPr="001D5F5D">
        <w:rPr>
          <w:sz w:val="24"/>
          <w:szCs w:val="24"/>
        </w:rPr>
        <w:t xml:space="preserve">. </w:t>
      </w:r>
      <w:r w:rsidRPr="001D5F5D">
        <w:rPr>
          <w:rFonts w:cstheme="minorHAnsi"/>
          <w:sz w:val="24"/>
          <w:szCs w:val="24"/>
        </w:rPr>
        <w:t xml:space="preserve">Generalized linear models showed Grubbed sites had significantly lower TPG above-ground cover as compared to Undisturbed sites (p = 0.02), </w:t>
      </w:r>
      <w:r w:rsidR="00F836C6">
        <w:rPr>
          <w:rFonts w:cstheme="minorHAnsi"/>
          <w:sz w:val="24"/>
          <w:szCs w:val="24"/>
        </w:rPr>
        <w:t>and</w:t>
      </w:r>
      <w:r w:rsidRPr="001D5F5D">
        <w:rPr>
          <w:rFonts w:cstheme="minorHAnsi"/>
          <w:sz w:val="24"/>
          <w:szCs w:val="24"/>
        </w:rPr>
        <w:t xml:space="preserve"> 1-</w:t>
      </w:r>
      <w:r w:rsidRPr="001D5F5D">
        <w:rPr>
          <w:rFonts w:cstheme="minorHAnsi"/>
          <w:sz w:val="24"/>
          <w:szCs w:val="24"/>
        </w:rPr>
        <w:lastRenderedPageBreak/>
        <w:t xml:space="preserve">year old exclosures in NRE </w:t>
      </w:r>
      <w:r w:rsidR="00F836C6">
        <w:rPr>
          <w:rFonts w:cstheme="minorHAnsi"/>
          <w:sz w:val="24"/>
          <w:szCs w:val="24"/>
        </w:rPr>
        <w:t>had</w:t>
      </w:r>
      <w:r w:rsidRPr="001D5F5D">
        <w:rPr>
          <w:rFonts w:cstheme="minorHAnsi"/>
          <w:sz w:val="24"/>
          <w:szCs w:val="24"/>
        </w:rPr>
        <w:t xml:space="preserve"> significantly lower TPG cover than Undisturbed sites (p = 0.0</w:t>
      </w:r>
      <w:r w:rsidR="00F836C6">
        <w:rPr>
          <w:rFonts w:cstheme="minorHAnsi"/>
          <w:sz w:val="24"/>
          <w:szCs w:val="24"/>
        </w:rPr>
        <w:t>4</w:t>
      </w:r>
      <w:r w:rsidRPr="001D5F5D">
        <w:rPr>
          <w:rFonts w:cstheme="minorHAnsi"/>
          <w:sz w:val="24"/>
          <w:szCs w:val="24"/>
        </w:rPr>
        <w:t>) (</w:t>
      </w:r>
      <w:r w:rsidR="008503D9">
        <w:rPr>
          <w:rFonts w:cstheme="minorHAnsi"/>
          <w:sz w:val="24"/>
          <w:szCs w:val="24"/>
        </w:rPr>
        <w:t>Fig. 6</w:t>
      </w:r>
      <w:r w:rsidRPr="001D5F5D">
        <w:rPr>
          <w:rFonts w:cstheme="minorHAnsi"/>
          <w:sz w:val="24"/>
          <w:szCs w:val="24"/>
        </w:rPr>
        <w:t xml:space="preserve">). </w:t>
      </w:r>
    </w:p>
    <w:p w14:paraId="4F52FB54" w14:textId="77777777" w:rsidR="00257DF2" w:rsidRPr="001D5F5D" w:rsidRDefault="00257DF2" w:rsidP="007E7955">
      <w:pPr>
        <w:spacing w:line="480" w:lineRule="auto"/>
        <w:rPr>
          <w:rFonts w:cstheme="minorHAnsi"/>
          <w:sz w:val="24"/>
          <w:szCs w:val="24"/>
        </w:rPr>
      </w:pPr>
    </w:p>
    <w:p w14:paraId="3D80ABF1" w14:textId="77777777" w:rsidR="00257DF2" w:rsidRPr="00450EB6" w:rsidRDefault="00257DF2" w:rsidP="007E7955">
      <w:pPr>
        <w:pStyle w:val="Heading2"/>
        <w:numPr>
          <w:ilvl w:val="0"/>
          <w:numId w:val="0"/>
        </w:numPr>
        <w:spacing w:line="480" w:lineRule="auto"/>
        <w:ind w:left="576" w:hanging="576"/>
      </w:pPr>
      <w:bookmarkStart w:id="23" w:name="_Toc143184239"/>
      <w:r w:rsidRPr="00450EB6">
        <w:t>Surface seed banks and comparison to above-ground vegetation</w:t>
      </w:r>
      <w:bookmarkEnd w:id="23"/>
    </w:p>
    <w:p w14:paraId="0C512202" w14:textId="0C78FDDB" w:rsidR="00257DF2" w:rsidRPr="001D5F5D" w:rsidRDefault="00257DF2" w:rsidP="007E7955">
      <w:pPr>
        <w:spacing w:line="480" w:lineRule="auto"/>
        <w:ind w:firstLine="720"/>
        <w:rPr>
          <w:rFonts w:cstheme="minorHAnsi"/>
          <w:sz w:val="24"/>
          <w:szCs w:val="24"/>
        </w:rPr>
      </w:pPr>
      <w:r w:rsidRPr="001D5F5D">
        <w:rPr>
          <w:rFonts w:cstheme="minorHAnsi"/>
          <w:sz w:val="24"/>
          <w:szCs w:val="24"/>
        </w:rPr>
        <w:t>As with above-ground vegetation, native species richness was greater than non-native richness, and mean species richness was comparable between all disturbance categories (</w:t>
      </w:r>
      <w:r w:rsidR="007D59F4">
        <w:rPr>
          <w:rFonts w:cstheme="minorHAnsi"/>
          <w:sz w:val="24"/>
          <w:szCs w:val="24"/>
        </w:rPr>
        <w:t>Fig. 3</w:t>
      </w:r>
      <w:r w:rsidRPr="001D5F5D">
        <w:rPr>
          <w:rFonts w:cstheme="minorHAnsi"/>
          <w:sz w:val="24"/>
          <w:szCs w:val="24"/>
        </w:rPr>
        <w:t>). Relative abundance of TPG seeds was greater in the 10-year old exclosures at LQRE than in Undisturbed sites at both estuaries, however seed of any TPG species was nearly absent from Grubbed sites in both estuaries, and 1-year old exclosures at NRE (</w:t>
      </w:r>
      <w:r w:rsidR="007D59F4">
        <w:rPr>
          <w:rFonts w:cstheme="minorHAnsi"/>
          <w:sz w:val="24"/>
          <w:szCs w:val="24"/>
        </w:rPr>
        <w:t>Fig. 4</w:t>
      </w:r>
      <w:r w:rsidRPr="001D5F5D">
        <w:rPr>
          <w:rFonts w:cstheme="minorHAnsi"/>
          <w:sz w:val="24"/>
          <w:szCs w:val="24"/>
        </w:rPr>
        <w:t>). Additionally, we found surface seed banks had fewer dominant species in each of the disturbance categories than above-ground vegetation (</w:t>
      </w:r>
      <w:r w:rsidR="007D59F4">
        <w:rPr>
          <w:rFonts w:cstheme="minorHAnsi"/>
          <w:sz w:val="24"/>
          <w:szCs w:val="24"/>
        </w:rPr>
        <w:t>Fig. 5</w:t>
      </w:r>
      <w:r w:rsidRPr="001D5F5D">
        <w:rPr>
          <w:rFonts w:cstheme="minorHAnsi"/>
          <w:sz w:val="24"/>
          <w:szCs w:val="24"/>
        </w:rPr>
        <w:t xml:space="preserve">). </w:t>
      </w:r>
      <w:r w:rsidR="00DB3820">
        <w:rPr>
          <w:rFonts w:cstheme="minorHAnsi"/>
          <w:sz w:val="24"/>
          <w:szCs w:val="24"/>
        </w:rPr>
        <w:t xml:space="preserve">Relative abundance of all species found in the </w:t>
      </w:r>
      <w:r w:rsidR="00AF7865">
        <w:rPr>
          <w:rFonts w:cstheme="minorHAnsi"/>
          <w:sz w:val="24"/>
          <w:szCs w:val="24"/>
        </w:rPr>
        <w:t xml:space="preserve">above-ground vegetation and surface seed banks are found in Table S1. </w:t>
      </w:r>
    </w:p>
    <w:p w14:paraId="1F9257F5" w14:textId="10E1F24E" w:rsidR="00257DF2" w:rsidRPr="001D5F5D" w:rsidRDefault="00257DF2" w:rsidP="007E7955">
      <w:pPr>
        <w:spacing w:line="480" w:lineRule="auto"/>
        <w:ind w:firstLine="720"/>
        <w:rPr>
          <w:rFonts w:cstheme="minorHAnsi"/>
          <w:sz w:val="24"/>
          <w:szCs w:val="24"/>
        </w:rPr>
      </w:pPr>
      <w:r w:rsidRPr="001D5F5D">
        <w:rPr>
          <w:rFonts w:cstheme="minorHAnsi"/>
          <w:sz w:val="24"/>
          <w:szCs w:val="24"/>
        </w:rPr>
        <w:t>Dominant surface seed bank species in Undisturbed sites varied by estuary, with no TPG species dominating in NRE (</w:t>
      </w:r>
      <w:r>
        <w:rPr>
          <w:rFonts w:cstheme="minorHAnsi"/>
          <w:sz w:val="24"/>
          <w:szCs w:val="24"/>
        </w:rPr>
        <w:t>Table 4</w:t>
      </w:r>
      <w:r w:rsidRPr="001D5F5D">
        <w:rPr>
          <w:rFonts w:cstheme="minorHAnsi"/>
          <w:sz w:val="24"/>
          <w:szCs w:val="24"/>
        </w:rPr>
        <w:t xml:space="preserve">). In LQRE, both the Undisturbed and 10-year old exclosures were dominated by the same two species (non-native </w:t>
      </w:r>
      <w:r w:rsidRPr="001D5F5D">
        <w:rPr>
          <w:rFonts w:cstheme="minorHAnsi"/>
          <w:i/>
          <w:iCs/>
          <w:sz w:val="24"/>
          <w:szCs w:val="24"/>
        </w:rPr>
        <w:t>A. stolonifera</w:t>
      </w:r>
      <w:r w:rsidRPr="001D5F5D">
        <w:rPr>
          <w:rFonts w:cstheme="minorHAnsi"/>
          <w:sz w:val="24"/>
          <w:szCs w:val="24"/>
        </w:rPr>
        <w:t xml:space="preserve"> and native </w:t>
      </w:r>
      <w:r w:rsidRPr="001D5F5D">
        <w:rPr>
          <w:rFonts w:cstheme="minorHAnsi"/>
          <w:i/>
          <w:iCs/>
          <w:sz w:val="24"/>
          <w:szCs w:val="24"/>
        </w:rPr>
        <w:t>J. balticus</w:t>
      </w:r>
      <w:r w:rsidRPr="001D5F5D">
        <w:rPr>
          <w:rFonts w:cstheme="minorHAnsi"/>
          <w:sz w:val="24"/>
          <w:szCs w:val="24"/>
        </w:rPr>
        <w:t xml:space="preserve">) </w:t>
      </w:r>
      <w:r>
        <w:rPr>
          <w:rFonts w:cstheme="minorHAnsi"/>
          <w:sz w:val="24"/>
          <w:szCs w:val="24"/>
        </w:rPr>
        <w:t>(</w:t>
      </w:r>
      <w:r w:rsidR="007D59F4">
        <w:rPr>
          <w:rFonts w:cstheme="minorHAnsi"/>
          <w:sz w:val="24"/>
          <w:szCs w:val="24"/>
        </w:rPr>
        <w:t>Fig. 5</w:t>
      </w:r>
      <w:r>
        <w:rPr>
          <w:rFonts w:cstheme="minorHAnsi"/>
          <w:sz w:val="24"/>
          <w:szCs w:val="24"/>
        </w:rPr>
        <w:t>)</w:t>
      </w:r>
      <w:r w:rsidRPr="001D5F5D">
        <w:rPr>
          <w:rFonts w:cstheme="minorHAnsi"/>
          <w:sz w:val="24"/>
          <w:szCs w:val="24"/>
        </w:rPr>
        <w:t xml:space="preserve">. Indicator species for the surface seed bank in 10-year old exclosures in LQRE included non-native </w:t>
      </w:r>
      <w:r w:rsidRPr="001D5F5D">
        <w:rPr>
          <w:rFonts w:cstheme="minorHAnsi"/>
          <w:i/>
          <w:iCs/>
          <w:sz w:val="24"/>
          <w:szCs w:val="24"/>
        </w:rPr>
        <w:t>A.</w:t>
      </w:r>
      <w:r w:rsidRPr="001D5F5D">
        <w:rPr>
          <w:rFonts w:cstheme="minorHAnsi"/>
          <w:i/>
          <w:sz w:val="24"/>
          <w:szCs w:val="24"/>
        </w:rPr>
        <w:t xml:space="preserve"> stolonifera</w:t>
      </w:r>
      <w:r w:rsidRPr="001D5F5D">
        <w:rPr>
          <w:rFonts w:cstheme="minorHAnsi"/>
          <w:sz w:val="24"/>
          <w:szCs w:val="24"/>
        </w:rPr>
        <w:t xml:space="preserve">, native </w:t>
      </w:r>
      <w:r w:rsidRPr="001D5F5D">
        <w:rPr>
          <w:rFonts w:cstheme="minorHAnsi"/>
          <w:i/>
          <w:iCs/>
          <w:sz w:val="24"/>
          <w:szCs w:val="24"/>
        </w:rPr>
        <w:t>J. balticus</w:t>
      </w:r>
      <w:r w:rsidRPr="001D5F5D">
        <w:rPr>
          <w:rFonts w:cstheme="minorHAnsi"/>
          <w:sz w:val="24"/>
          <w:szCs w:val="24"/>
        </w:rPr>
        <w:t xml:space="preserve">, and native </w:t>
      </w:r>
      <w:r w:rsidRPr="001D5F5D">
        <w:rPr>
          <w:rFonts w:cstheme="minorHAnsi"/>
          <w:i/>
          <w:iCs/>
          <w:sz w:val="24"/>
          <w:szCs w:val="24"/>
        </w:rPr>
        <w:t>T. maritima.</w:t>
      </w:r>
      <w:r w:rsidRPr="001D5F5D">
        <w:rPr>
          <w:rFonts w:cstheme="minorHAnsi"/>
          <w:sz w:val="24"/>
          <w:szCs w:val="24"/>
        </w:rPr>
        <w:t xml:space="preserve"> Indicators of Undisturbed surface seed banks in both estuaries included native TPGs </w:t>
      </w:r>
      <w:r w:rsidRPr="001D5F5D">
        <w:rPr>
          <w:rFonts w:cstheme="minorHAnsi"/>
          <w:i/>
          <w:iCs/>
          <w:sz w:val="24"/>
          <w:szCs w:val="24"/>
        </w:rPr>
        <w:t>C. lyngbyei</w:t>
      </w:r>
      <w:r w:rsidRPr="001D5F5D">
        <w:rPr>
          <w:rFonts w:cstheme="minorHAnsi"/>
          <w:sz w:val="24"/>
          <w:szCs w:val="24"/>
        </w:rPr>
        <w:t xml:space="preserve"> and </w:t>
      </w:r>
      <w:r w:rsidRPr="001D5F5D">
        <w:rPr>
          <w:rFonts w:cstheme="minorHAnsi"/>
          <w:i/>
          <w:iCs/>
          <w:sz w:val="24"/>
          <w:szCs w:val="24"/>
        </w:rPr>
        <w:t>Juncus articulatus</w:t>
      </w:r>
      <w:r w:rsidRPr="001D5F5D">
        <w:rPr>
          <w:rFonts w:cstheme="minorHAnsi"/>
          <w:sz w:val="24"/>
          <w:szCs w:val="24"/>
        </w:rPr>
        <w:t>, as well as non-native forb</w:t>
      </w:r>
      <w:r w:rsidRPr="001D5F5D">
        <w:rPr>
          <w:rFonts w:cstheme="minorHAnsi"/>
          <w:i/>
          <w:iCs/>
          <w:sz w:val="24"/>
          <w:szCs w:val="24"/>
        </w:rPr>
        <w:t xml:space="preserve"> C. coronopifolia </w:t>
      </w:r>
      <w:r w:rsidRPr="001D5F5D">
        <w:rPr>
          <w:rFonts w:cstheme="minorHAnsi"/>
          <w:sz w:val="24"/>
          <w:szCs w:val="24"/>
        </w:rPr>
        <w:t>(</w:t>
      </w:r>
      <w:r>
        <w:rPr>
          <w:rFonts w:cstheme="minorHAnsi"/>
          <w:sz w:val="24"/>
          <w:szCs w:val="24"/>
        </w:rPr>
        <w:t>Table 4</w:t>
      </w:r>
      <w:r w:rsidRPr="001D5F5D">
        <w:rPr>
          <w:rFonts w:cstheme="minorHAnsi"/>
          <w:sz w:val="24"/>
          <w:szCs w:val="24"/>
        </w:rPr>
        <w:t xml:space="preserve">). This was contrasted by no dominant or indicator species in the surface seed banks of 1-year old exclosures, and the only indicator of Grubbed sites was native forb </w:t>
      </w:r>
      <w:r w:rsidRPr="001D5F5D">
        <w:rPr>
          <w:rFonts w:cstheme="minorHAnsi"/>
          <w:i/>
          <w:iCs/>
          <w:sz w:val="24"/>
          <w:szCs w:val="24"/>
        </w:rPr>
        <w:t>Salicornia depressa</w:t>
      </w:r>
      <w:r w:rsidRPr="001D5F5D">
        <w:rPr>
          <w:rFonts w:cstheme="minorHAnsi"/>
          <w:sz w:val="24"/>
          <w:szCs w:val="24"/>
        </w:rPr>
        <w:t xml:space="preserve">. Grubbed sites in both estuaries were dominated by </w:t>
      </w:r>
      <w:r w:rsidRPr="001D5F5D">
        <w:rPr>
          <w:rFonts w:cstheme="minorHAnsi"/>
          <w:sz w:val="24"/>
          <w:szCs w:val="24"/>
        </w:rPr>
        <w:lastRenderedPageBreak/>
        <w:t xml:space="preserve">native, short graminoid </w:t>
      </w:r>
      <w:r w:rsidRPr="001D5F5D">
        <w:rPr>
          <w:rFonts w:cstheme="minorHAnsi"/>
          <w:i/>
          <w:iCs/>
          <w:sz w:val="24"/>
          <w:szCs w:val="24"/>
        </w:rPr>
        <w:t>E. parvula</w:t>
      </w:r>
      <w:r w:rsidRPr="001D5F5D">
        <w:rPr>
          <w:rFonts w:cstheme="minorHAnsi"/>
          <w:sz w:val="24"/>
          <w:szCs w:val="24"/>
        </w:rPr>
        <w:t xml:space="preserve">, while native forb </w:t>
      </w:r>
      <w:r w:rsidRPr="001D5F5D">
        <w:rPr>
          <w:rFonts w:cstheme="minorHAnsi"/>
          <w:i/>
          <w:iCs/>
          <w:sz w:val="24"/>
          <w:szCs w:val="24"/>
        </w:rPr>
        <w:t xml:space="preserve">S. canadensis </w:t>
      </w:r>
      <w:r w:rsidRPr="001D5F5D">
        <w:rPr>
          <w:rFonts w:cstheme="minorHAnsi"/>
          <w:sz w:val="24"/>
          <w:szCs w:val="24"/>
        </w:rPr>
        <w:t xml:space="preserve">was dominant only in seed bank samples from Grubbed sites at LQRE. No species were seed-dominant in 1-year old exclosures in NRE. </w:t>
      </w:r>
      <w:r w:rsidRPr="001D5F5D">
        <w:rPr>
          <w:sz w:val="24"/>
          <w:szCs w:val="24"/>
        </w:rPr>
        <w:t>Our generalized linear models showed Nanaimo River Estuary had significantly lower TPG seed abundance overall (p = 0.02), and Grubbed sites had significantly lower TPG seed abundance, regardless of estuary (p = 0.05) (</w:t>
      </w:r>
      <w:r w:rsidR="007D59F4">
        <w:rPr>
          <w:sz w:val="24"/>
          <w:szCs w:val="24"/>
        </w:rPr>
        <w:t>Fig. 6</w:t>
      </w:r>
      <w:r w:rsidRPr="001D5F5D">
        <w:rPr>
          <w:sz w:val="24"/>
          <w:szCs w:val="24"/>
        </w:rPr>
        <w:t xml:space="preserve">). </w:t>
      </w:r>
    </w:p>
    <w:p w14:paraId="1973CFF4" w14:textId="144913A9" w:rsidR="00257DF2" w:rsidRDefault="00257DF2" w:rsidP="007E7955">
      <w:pPr>
        <w:spacing w:line="480" w:lineRule="auto"/>
        <w:rPr>
          <w:rFonts w:cstheme="minorHAnsi"/>
          <w:sz w:val="24"/>
          <w:szCs w:val="24"/>
        </w:rPr>
      </w:pPr>
      <w:r w:rsidRPr="001D5F5D">
        <w:rPr>
          <w:rFonts w:cstheme="minorHAnsi"/>
          <w:sz w:val="24"/>
          <w:szCs w:val="24"/>
        </w:rPr>
        <w:tab/>
      </w:r>
      <w:r w:rsidRPr="001D5F5D">
        <w:rPr>
          <w:sz w:val="24"/>
          <w:szCs w:val="24"/>
        </w:rPr>
        <w:t>We found surface seed bank compositional abundance differed from vegetation at Grubbed sites, as many of the species found in the above-ground vegetation were not present in the surface seed bank (</w:t>
      </w:r>
      <w:r w:rsidR="007D59F4">
        <w:rPr>
          <w:sz w:val="24"/>
          <w:szCs w:val="24"/>
        </w:rPr>
        <w:t>Fig. 5</w:t>
      </w:r>
      <w:r w:rsidRPr="001D5F5D">
        <w:rPr>
          <w:sz w:val="24"/>
          <w:szCs w:val="24"/>
        </w:rPr>
        <w:t xml:space="preserve">). In 10-year old exclosures, native </w:t>
      </w:r>
      <w:r w:rsidRPr="001D5F5D">
        <w:rPr>
          <w:i/>
          <w:sz w:val="24"/>
          <w:szCs w:val="24"/>
        </w:rPr>
        <w:t>C. lyngbyei</w:t>
      </w:r>
      <w:r w:rsidRPr="001D5F5D">
        <w:rPr>
          <w:sz w:val="24"/>
          <w:szCs w:val="24"/>
        </w:rPr>
        <w:t xml:space="preserve"> recovered as dominant vegetation, but abundance of its seed in the surface seed bank was much lower than that in Undisturbed sites. This was contrasted by non-native invasive </w:t>
      </w:r>
      <w:r w:rsidRPr="001D5F5D">
        <w:rPr>
          <w:i/>
          <w:sz w:val="24"/>
          <w:szCs w:val="24"/>
        </w:rPr>
        <w:t>A. stolonifera</w:t>
      </w:r>
      <w:r w:rsidRPr="001D5F5D">
        <w:rPr>
          <w:iCs/>
          <w:sz w:val="24"/>
          <w:szCs w:val="24"/>
        </w:rPr>
        <w:t xml:space="preserve">, whose seed </w:t>
      </w:r>
      <w:r w:rsidRPr="001D5F5D">
        <w:rPr>
          <w:sz w:val="24"/>
          <w:szCs w:val="24"/>
        </w:rPr>
        <w:t xml:space="preserve">dominated surface seed banks in 10-year old exclosures and Undisturbed sites, and its dominance in above-ground vegetation was greater at 10-year old sites than in Undisturbed sites. Though the </w:t>
      </w:r>
      <w:r w:rsidRPr="001D5F5D">
        <w:rPr>
          <w:rFonts w:cstheme="minorHAnsi"/>
          <w:sz w:val="24"/>
          <w:szCs w:val="24"/>
        </w:rPr>
        <w:t xml:space="preserve">native forb </w:t>
      </w:r>
      <w:r w:rsidRPr="001D5F5D">
        <w:rPr>
          <w:rFonts w:cstheme="minorHAnsi"/>
          <w:i/>
          <w:sz w:val="24"/>
          <w:szCs w:val="24"/>
        </w:rPr>
        <w:t>Symphyotrichum subspicatum</w:t>
      </w:r>
      <w:r w:rsidRPr="001D5F5D">
        <w:rPr>
          <w:rFonts w:cstheme="minorHAnsi"/>
          <w:sz w:val="24"/>
          <w:szCs w:val="24"/>
        </w:rPr>
        <w:t xml:space="preserve"> was dominant in vegetation at Undisturbed sites, it was absent from the vegetation and surface seed bank in 10-year old exclosures. </w:t>
      </w:r>
    </w:p>
    <w:p w14:paraId="0AFD92B2" w14:textId="0DF5A7D5" w:rsidR="00325068" w:rsidRDefault="008503D9" w:rsidP="007E7955">
      <w:pPr>
        <w:keepNext/>
        <w:spacing w:line="480" w:lineRule="auto"/>
        <w:rPr>
          <w:rFonts w:cstheme="minorHAnsi"/>
          <w:i/>
          <w:iCs/>
          <w:sz w:val="24"/>
          <w:szCs w:val="24"/>
        </w:rPr>
      </w:pPr>
      <w:r>
        <w:rPr>
          <w:rFonts w:cstheme="minorHAnsi"/>
          <w:b/>
          <w:bCs/>
          <w:i/>
          <w:iCs/>
          <w:sz w:val="24"/>
          <w:szCs w:val="24"/>
        </w:rPr>
        <w:t xml:space="preserve">Fig. </w:t>
      </w:r>
      <w:r w:rsidR="00294239">
        <w:rPr>
          <w:rFonts w:cstheme="minorHAnsi"/>
          <w:b/>
          <w:bCs/>
          <w:i/>
          <w:iCs/>
          <w:sz w:val="24"/>
          <w:szCs w:val="24"/>
        </w:rPr>
        <w:t>6</w:t>
      </w:r>
      <w:r w:rsidR="00294239">
        <w:rPr>
          <w:rFonts w:cstheme="minorHAnsi"/>
          <w:i/>
          <w:iCs/>
          <w:sz w:val="24"/>
          <w:szCs w:val="24"/>
        </w:rPr>
        <w:t xml:space="preserve"> </w:t>
      </w:r>
      <w:r w:rsidR="00257DF2" w:rsidRPr="0002389B">
        <w:rPr>
          <w:rFonts w:cstheme="minorHAnsi"/>
          <w:i/>
          <w:iCs/>
          <w:sz w:val="24"/>
          <w:szCs w:val="24"/>
        </w:rPr>
        <w:t>Actual vs. predicted values for proportion of tall, perennial graminoid in above-ground vegetation cover (top panel) and surface seed bank samples (bottom panel) based on disturbance condition. Actual values plotted as colored points (blue) for Little Qualicum River</w:t>
      </w:r>
      <w:r w:rsidR="00325068">
        <w:rPr>
          <w:rFonts w:cstheme="minorHAnsi"/>
          <w:i/>
          <w:iCs/>
          <w:sz w:val="24"/>
          <w:szCs w:val="24"/>
        </w:rPr>
        <w:t xml:space="preserve"> E</w:t>
      </w:r>
      <w:r w:rsidR="00257DF2" w:rsidRPr="0002389B">
        <w:rPr>
          <w:rFonts w:cstheme="minorHAnsi"/>
          <w:i/>
          <w:iCs/>
          <w:sz w:val="24"/>
          <w:szCs w:val="24"/>
        </w:rPr>
        <w:t xml:space="preserve">stuary and Nanaimo River Estuary; estimated mean values shown in black as means (points) with standard </w:t>
      </w:r>
      <w:proofErr w:type="gramStart"/>
      <w:r w:rsidR="00257DF2" w:rsidRPr="0002389B">
        <w:rPr>
          <w:rFonts w:cstheme="minorHAnsi"/>
          <w:i/>
          <w:iCs/>
          <w:sz w:val="24"/>
          <w:szCs w:val="24"/>
        </w:rPr>
        <w:t>error</w:t>
      </w:r>
      <w:proofErr w:type="gramEnd"/>
    </w:p>
    <w:p w14:paraId="689A993D" w14:textId="1B92AB95" w:rsidR="00257DF2" w:rsidRPr="0002389B" w:rsidRDefault="00325068" w:rsidP="00AF7865">
      <w:pPr>
        <w:spacing w:line="480" w:lineRule="auto"/>
        <w:rPr>
          <w:rFonts w:cstheme="minorHAnsi"/>
          <w:i/>
          <w:iCs/>
          <w:sz w:val="24"/>
          <w:szCs w:val="24"/>
        </w:rPr>
      </w:pPr>
      <w:r>
        <w:rPr>
          <w:rFonts w:cstheme="minorHAnsi"/>
          <w:i/>
          <w:iCs/>
          <w:sz w:val="24"/>
          <w:szCs w:val="24"/>
        </w:rPr>
        <w:br w:type="page"/>
      </w:r>
    </w:p>
    <w:p w14:paraId="3CF15BFB" w14:textId="77777777" w:rsidR="00257DF2" w:rsidRPr="00450EB6" w:rsidRDefault="00257DF2" w:rsidP="007E7955">
      <w:pPr>
        <w:pStyle w:val="Heading1"/>
        <w:numPr>
          <w:ilvl w:val="0"/>
          <w:numId w:val="0"/>
        </w:numPr>
        <w:suppressLineNumbers/>
        <w:spacing w:line="480" w:lineRule="auto"/>
        <w:ind w:left="432" w:hanging="432"/>
      </w:pPr>
      <w:bookmarkStart w:id="24" w:name="_Toc143184173"/>
      <w:bookmarkStart w:id="25" w:name="_Toc143184240"/>
      <w:bookmarkStart w:id="26" w:name="_Toc143184241"/>
      <w:bookmarkEnd w:id="24"/>
      <w:bookmarkEnd w:id="25"/>
      <w:r w:rsidRPr="00450EB6">
        <w:lastRenderedPageBreak/>
        <w:t>Discussion</w:t>
      </w:r>
      <w:bookmarkEnd w:id="26"/>
    </w:p>
    <w:p w14:paraId="12627132" w14:textId="1AD905B8" w:rsidR="00257DF2" w:rsidRPr="001D5F5D" w:rsidRDefault="00257DF2" w:rsidP="007E7955">
      <w:pPr>
        <w:spacing w:line="480" w:lineRule="auto"/>
        <w:ind w:firstLine="360"/>
        <w:rPr>
          <w:rFonts w:cstheme="minorHAnsi"/>
          <w:sz w:val="24"/>
          <w:szCs w:val="24"/>
        </w:rPr>
      </w:pPr>
      <w:r w:rsidRPr="001D5F5D">
        <w:rPr>
          <w:rFonts w:cstheme="minorHAnsi"/>
          <w:sz w:val="24"/>
          <w:szCs w:val="24"/>
        </w:rPr>
        <w:tab/>
        <w:t xml:space="preserve">We wanted to understand whether the competitively dominant tall, perennial graminoids (TPGs) recovered following grazing disturbance, and whether recovery of surface seed banks resembled above-ground vegetation composition. We found that after 10 years of grazing exclusion, the dominant plant group of tall, perennial graminoids (TPGs) recovered in the above-ground vegetation according to our expectations, however non-native species </w:t>
      </w:r>
      <w:r w:rsidRPr="001D5F5D">
        <w:rPr>
          <w:rFonts w:cstheme="minorHAnsi"/>
          <w:i/>
          <w:iCs/>
          <w:sz w:val="24"/>
          <w:szCs w:val="24"/>
        </w:rPr>
        <w:t>Agrostis stolonifera</w:t>
      </w:r>
      <w:r w:rsidRPr="001D5F5D">
        <w:rPr>
          <w:rFonts w:cstheme="minorHAnsi"/>
          <w:sz w:val="24"/>
          <w:szCs w:val="24"/>
        </w:rPr>
        <w:t xml:space="preserve"> had become the dominant species in both the vegetation and surface seed banks. Additionally, we found significantly lower relative abundance of TPGs in the above-ground vegetation and surface seed bank in the Grubbed sites at both estuaries, and significantly lower relative abundance of TPG species in the </w:t>
      </w:r>
      <w:r w:rsidR="00360315">
        <w:rPr>
          <w:rFonts w:cstheme="minorHAnsi"/>
          <w:sz w:val="24"/>
          <w:szCs w:val="24"/>
        </w:rPr>
        <w:t xml:space="preserve">above-ground vegetation and </w:t>
      </w:r>
      <w:r w:rsidRPr="001D5F5D">
        <w:rPr>
          <w:rFonts w:cstheme="minorHAnsi"/>
          <w:sz w:val="24"/>
          <w:szCs w:val="24"/>
        </w:rPr>
        <w:t>surface seed banks at 1-year old exclosures at Nanaimo River Estuary (NRE) (</w:t>
      </w:r>
      <w:r w:rsidR="00325068">
        <w:rPr>
          <w:rFonts w:cstheme="minorHAnsi"/>
          <w:sz w:val="24"/>
          <w:szCs w:val="24"/>
        </w:rPr>
        <w:t>Fig. 6</w:t>
      </w:r>
      <w:r w:rsidRPr="001D5F5D">
        <w:rPr>
          <w:rFonts w:cstheme="minorHAnsi"/>
          <w:sz w:val="24"/>
          <w:szCs w:val="24"/>
        </w:rPr>
        <w:t>). Given that non-native species dominate the recovered vegetation and surface seed banks after 10 years of grazing exclusion at Little Qualicum River Estuary (LQRE), we suggest that these disturbed habitats are recovering towards an alternative composition</w:t>
      </w:r>
      <w:r w:rsidR="00C92C12">
        <w:rPr>
          <w:rFonts w:cstheme="minorHAnsi"/>
          <w:sz w:val="24"/>
          <w:szCs w:val="24"/>
        </w:rPr>
        <w:t xml:space="preserve"> and abundance</w:t>
      </w:r>
      <w:r w:rsidRPr="001D5F5D">
        <w:rPr>
          <w:rFonts w:cstheme="minorHAnsi"/>
          <w:sz w:val="24"/>
          <w:szCs w:val="24"/>
        </w:rPr>
        <w:t>, reflecting the prevalence of non-native grasses throughout the region.</w:t>
      </w:r>
    </w:p>
    <w:p w14:paraId="659D49CD" w14:textId="57D29A2F" w:rsidR="00257DF2" w:rsidRPr="001D5F5D" w:rsidRDefault="00257DF2" w:rsidP="007E7955">
      <w:pPr>
        <w:spacing w:line="480" w:lineRule="auto"/>
        <w:ind w:firstLine="360"/>
        <w:rPr>
          <w:rFonts w:cstheme="minorHAnsi"/>
          <w:sz w:val="24"/>
          <w:szCs w:val="24"/>
        </w:rPr>
      </w:pPr>
      <w:r w:rsidRPr="001D5F5D">
        <w:rPr>
          <w:rFonts w:cstheme="minorHAnsi"/>
          <w:sz w:val="24"/>
          <w:szCs w:val="24"/>
        </w:rPr>
        <w:t xml:space="preserve">Non-native TPGs may have a greater competitive recruitment advantage, contributing to this alternative recovery trajectory following disturbance by grubbing. This may be driven at least in part by high seed production, resulting in a “weighted lottery” </w:t>
      </w:r>
      <w:r w:rsidRPr="001D5F5D">
        <w:rPr>
          <w:rFonts w:ascii="Calibri" w:hAnsi="Calibri" w:cs="Calibri"/>
          <w:sz w:val="24"/>
          <w:szCs w:val="24"/>
        </w:rPr>
        <w:t>(</w:t>
      </w:r>
      <w:proofErr w:type="spellStart"/>
      <w:r w:rsidRPr="001D5F5D">
        <w:rPr>
          <w:rFonts w:ascii="Calibri" w:hAnsi="Calibri" w:cs="Calibri"/>
          <w:sz w:val="24"/>
          <w:szCs w:val="24"/>
        </w:rPr>
        <w:t>Lavorel</w:t>
      </w:r>
      <w:proofErr w:type="spellEnd"/>
      <w:r w:rsidRPr="001D5F5D">
        <w:rPr>
          <w:rFonts w:ascii="Calibri" w:hAnsi="Calibri" w:cs="Calibri"/>
          <w:sz w:val="24"/>
          <w:szCs w:val="24"/>
        </w:rPr>
        <w:t xml:space="preserve"> &amp; </w:t>
      </w:r>
      <w:proofErr w:type="spellStart"/>
      <w:r w:rsidRPr="001D5F5D">
        <w:rPr>
          <w:rFonts w:ascii="Calibri" w:hAnsi="Calibri" w:cs="Calibri"/>
          <w:sz w:val="24"/>
          <w:szCs w:val="24"/>
        </w:rPr>
        <w:t>Lebreton</w:t>
      </w:r>
      <w:proofErr w:type="spellEnd"/>
      <w:r w:rsidRPr="001D5F5D">
        <w:rPr>
          <w:rFonts w:ascii="Calibri" w:hAnsi="Calibri" w:cs="Calibri"/>
          <w:sz w:val="24"/>
          <w:szCs w:val="24"/>
        </w:rPr>
        <w:t>, 1992)</w:t>
      </w:r>
      <w:r w:rsidRPr="001D5F5D">
        <w:rPr>
          <w:rFonts w:cstheme="minorHAnsi"/>
          <w:sz w:val="24"/>
          <w:szCs w:val="24"/>
        </w:rPr>
        <w:t xml:space="preserve"> of seed propagules from which the plant community can recover. In addition, it is likely that these species are also characterized by more competitive recruitment strategies than native TPGs. For example, the two TPG species with greatest representation in surface seed banks in Undisturbed </w:t>
      </w:r>
      <w:r>
        <w:rPr>
          <w:rFonts w:cstheme="minorHAnsi"/>
          <w:sz w:val="24"/>
          <w:szCs w:val="24"/>
        </w:rPr>
        <w:t xml:space="preserve">sites </w:t>
      </w:r>
      <w:r w:rsidRPr="001D5F5D">
        <w:rPr>
          <w:rFonts w:cstheme="minorHAnsi"/>
          <w:sz w:val="24"/>
          <w:szCs w:val="24"/>
        </w:rPr>
        <w:t xml:space="preserve">at both estuaries and 10-year old exclosures in LQRE were native </w:t>
      </w:r>
      <w:r w:rsidRPr="001D5F5D">
        <w:rPr>
          <w:rFonts w:cstheme="minorHAnsi"/>
          <w:i/>
          <w:sz w:val="24"/>
          <w:szCs w:val="24"/>
        </w:rPr>
        <w:t>J. balticus</w:t>
      </w:r>
      <w:r w:rsidRPr="001D5F5D">
        <w:rPr>
          <w:rFonts w:cstheme="minorHAnsi"/>
          <w:sz w:val="24"/>
          <w:szCs w:val="24"/>
        </w:rPr>
        <w:t xml:space="preserve"> </w:t>
      </w:r>
      <w:r w:rsidRPr="001D5F5D">
        <w:rPr>
          <w:rFonts w:cstheme="minorHAnsi"/>
          <w:sz w:val="24"/>
          <w:szCs w:val="24"/>
        </w:rPr>
        <w:lastRenderedPageBreak/>
        <w:t xml:space="preserve">and non-native, invasive </w:t>
      </w:r>
      <w:r w:rsidRPr="001D5F5D">
        <w:rPr>
          <w:rFonts w:cstheme="minorHAnsi"/>
          <w:i/>
          <w:sz w:val="24"/>
          <w:szCs w:val="24"/>
        </w:rPr>
        <w:t xml:space="preserve">A. stolonifera </w:t>
      </w:r>
      <w:r w:rsidRPr="001D5F5D">
        <w:rPr>
          <w:rFonts w:cstheme="minorHAnsi"/>
          <w:iCs/>
          <w:sz w:val="24"/>
          <w:szCs w:val="24"/>
        </w:rPr>
        <w:t>(</w:t>
      </w:r>
      <w:r w:rsidR="00325068">
        <w:rPr>
          <w:rFonts w:cstheme="minorHAnsi"/>
          <w:iCs/>
          <w:sz w:val="24"/>
          <w:szCs w:val="24"/>
        </w:rPr>
        <w:t>Fig. 5</w:t>
      </w:r>
      <w:r w:rsidRPr="001D5F5D">
        <w:rPr>
          <w:rFonts w:cstheme="minorHAnsi"/>
          <w:iCs/>
          <w:sz w:val="24"/>
          <w:szCs w:val="24"/>
        </w:rPr>
        <w:t>)</w:t>
      </w:r>
      <w:r w:rsidRPr="001D5F5D">
        <w:rPr>
          <w:rFonts w:cstheme="minorHAnsi"/>
          <w:sz w:val="24"/>
          <w:szCs w:val="24"/>
        </w:rPr>
        <w:t xml:space="preserve">. Despite these two species having similar seed propagule loads, native </w:t>
      </w:r>
      <w:r w:rsidRPr="001D5F5D">
        <w:rPr>
          <w:rFonts w:cstheme="minorHAnsi"/>
          <w:i/>
          <w:iCs/>
          <w:sz w:val="24"/>
          <w:szCs w:val="24"/>
        </w:rPr>
        <w:t>J. balticus</w:t>
      </w:r>
      <w:r w:rsidRPr="001D5F5D">
        <w:rPr>
          <w:rFonts w:cstheme="minorHAnsi"/>
          <w:sz w:val="24"/>
          <w:szCs w:val="24"/>
        </w:rPr>
        <w:t xml:space="preserve"> is not dominant in the above-ground vegetation, suggesting that its seed and clonal recruitment strategies were not sufficient to out-compete those of </w:t>
      </w:r>
      <w:r w:rsidRPr="001D5F5D">
        <w:rPr>
          <w:rFonts w:cstheme="minorHAnsi"/>
          <w:i/>
          <w:iCs/>
          <w:sz w:val="24"/>
          <w:szCs w:val="24"/>
        </w:rPr>
        <w:t>A. stolonifera</w:t>
      </w:r>
      <w:r w:rsidRPr="001D5F5D">
        <w:rPr>
          <w:rFonts w:cstheme="minorHAnsi"/>
          <w:sz w:val="24"/>
          <w:szCs w:val="24"/>
        </w:rPr>
        <w:t xml:space="preserve">. If these two species had comparable competitive recruitment traits, we might expect a similar proportion of cover abundance in the above ground vegetation in 10-year old exclosures </w:t>
      </w:r>
      <w:r w:rsidRPr="001D5F5D">
        <w:rPr>
          <w:rFonts w:ascii="Calibri" w:hAnsi="Calibri" w:cs="Calibri"/>
          <w:sz w:val="24"/>
          <w:szCs w:val="24"/>
        </w:rPr>
        <w:t>(Aicher et al., 2011)</w:t>
      </w:r>
      <w:r w:rsidRPr="001D5F5D">
        <w:rPr>
          <w:rFonts w:cstheme="minorHAnsi"/>
          <w:sz w:val="24"/>
          <w:szCs w:val="24"/>
        </w:rPr>
        <w:t xml:space="preserve">. Additionally, seed limitation of some species like </w:t>
      </w:r>
      <w:r w:rsidRPr="001D5F5D">
        <w:rPr>
          <w:rFonts w:cstheme="minorHAnsi"/>
          <w:i/>
          <w:iCs/>
          <w:sz w:val="24"/>
          <w:szCs w:val="24"/>
        </w:rPr>
        <w:t>Carex lyngbyei</w:t>
      </w:r>
      <w:r w:rsidRPr="001D5F5D">
        <w:rPr>
          <w:rFonts w:cstheme="minorHAnsi"/>
          <w:sz w:val="24"/>
          <w:szCs w:val="24"/>
        </w:rPr>
        <w:t xml:space="preserve"> result in reliance on recovery from clonal reproduction which may be insufficient to out-compete non-native, invasive species like </w:t>
      </w:r>
      <w:r w:rsidRPr="001D5F5D">
        <w:rPr>
          <w:rFonts w:cstheme="minorHAnsi"/>
          <w:i/>
          <w:iCs/>
          <w:sz w:val="24"/>
          <w:szCs w:val="24"/>
        </w:rPr>
        <w:t>A. stolonifera</w:t>
      </w:r>
      <w:r w:rsidRPr="001D5F5D">
        <w:rPr>
          <w:rFonts w:cstheme="minorHAnsi"/>
          <w:sz w:val="24"/>
          <w:szCs w:val="24"/>
        </w:rPr>
        <w:t xml:space="preserve"> </w:t>
      </w:r>
      <w:r w:rsidRPr="001D5F5D">
        <w:rPr>
          <w:rFonts w:ascii="Calibri" w:hAnsi="Calibri" w:cs="Calibri"/>
          <w:sz w:val="24"/>
          <w:szCs w:val="24"/>
        </w:rPr>
        <w:t xml:space="preserve">(Kettenring &amp; </w:t>
      </w:r>
      <w:proofErr w:type="spellStart"/>
      <w:r w:rsidRPr="001D5F5D">
        <w:rPr>
          <w:rFonts w:ascii="Calibri" w:hAnsi="Calibri" w:cs="Calibri"/>
          <w:sz w:val="24"/>
          <w:szCs w:val="24"/>
        </w:rPr>
        <w:t>Galatowitsch</w:t>
      </w:r>
      <w:proofErr w:type="spellEnd"/>
      <w:r w:rsidRPr="001D5F5D">
        <w:rPr>
          <w:rFonts w:ascii="Calibri" w:hAnsi="Calibri" w:cs="Calibri"/>
          <w:sz w:val="24"/>
          <w:szCs w:val="24"/>
        </w:rPr>
        <w:t>, 2011)</w:t>
      </w:r>
      <w:r w:rsidRPr="001D5F5D">
        <w:rPr>
          <w:rFonts w:cstheme="minorHAnsi"/>
          <w:sz w:val="24"/>
          <w:szCs w:val="24"/>
        </w:rPr>
        <w:t xml:space="preserve">. </w:t>
      </w:r>
    </w:p>
    <w:p w14:paraId="5E2537FB" w14:textId="546786A3" w:rsidR="00257DF2" w:rsidRPr="001D5F5D" w:rsidRDefault="00257DF2" w:rsidP="007E7955">
      <w:pPr>
        <w:spacing w:line="480" w:lineRule="auto"/>
        <w:ind w:firstLine="720"/>
        <w:rPr>
          <w:rFonts w:cstheme="minorHAnsi"/>
          <w:sz w:val="24"/>
          <w:szCs w:val="24"/>
        </w:rPr>
      </w:pPr>
      <w:r>
        <w:rPr>
          <w:rFonts w:cstheme="minorHAnsi"/>
          <w:sz w:val="24"/>
          <w:szCs w:val="24"/>
        </w:rPr>
        <w:t>These results</w:t>
      </w:r>
      <w:r w:rsidRPr="001D5F5D">
        <w:rPr>
          <w:rFonts w:cstheme="minorHAnsi"/>
          <w:sz w:val="24"/>
          <w:szCs w:val="24"/>
        </w:rPr>
        <w:t xml:space="preserve"> could imply that even when ecological memory remains through clonal fragments, it may be overwhelmed by the novel propagule pressures from the surrounding landscape. This post-disturbance recovery dominated by novel species may also exacerbate disturbance-driven losses of ecological memory, and hinder efforts to passive</w:t>
      </w:r>
      <w:r>
        <w:rPr>
          <w:rFonts w:cstheme="minorHAnsi"/>
          <w:sz w:val="24"/>
          <w:szCs w:val="24"/>
        </w:rPr>
        <w:t>ly</w:t>
      </w:r>
      <w:r w:rsidRPr="001D5F5D">
        <w:rPr>
          <w:rFonts w:cstheme="minorHAnsi"/>
          <w:sz w:val="24"/>
          <w:szCs w:val="24"/>
        </w:rPr>
        <w:t xml:space="preserve"> restore native composition </w:t>
      </w:r>
      <w:r w:rsidRPr="001D5F5D">
        <w:rPr>
          <w:rFonts w:ascii="Calibri" w:hAnsi="Calibri" w:cs="Calibri"/>
          <w:sz w:val="24"/>
          <w:szCs w:val="24"/>
        </w:rPr>
        <w:t>(Johnstone et al., 2016)</w:t>
      </w:r>
      <w:r w:rsidRPr="001D5F5D">
        <w:rPr>
          <w:rFonts w:cstheme="minorHAnsi"/>
          <w:sz w:val="24"/>
          <w:szCs w:val="24"/>
        </w:rPr>
        <w:t>. However, such intensely altered propagule loads were site-specific. We note that the sites sampled at Little Qualicum River Estuary appear to have a greater threat of non-native invasive species encroachment than sites sampled at Nanaimo River Estuary (</w:t>
      </w:r>
      <w:r w:rsidR="00BA4800">
        <w:rPr>
          <w:rFonts w:cstheme="minorHAnsi"/>
          <w:sz w:val="24"/>
          <w:szCs w:val="24"/>
        </w:rPr>
        <w:t>Fig. 5</w:t>
      </w:r>
      <w:r w:rsidRPr="001D5F5D">
        <w:rPr>
          <w:rFonts w:cstheme="minorHAnsi"/>
          <w:sz w:val="24"/>
          <w:szCs w:val="24"/>
        </w:rPr>
        <w:t xml:space="preserve">), despite its status as a protected Wildlife Management Area since 1993. Non-native species </w:t>
      </w:r>
      <w:r w:rsidRPr="001D5F5D">
        <w:rPr>
          <w:rFonts w:cstheme="minorHAnsi"/>
          <w:i/>
          <w:iCs/>
          <w:sz w:val="24"/>
          <w:szCs w:val="24"/>
        </w:rPr>
        <w:t>A. stolonifera</w:t>
      </w:r>
      <w:r w:rsidRPr="001D5F5D">
        <w:rPr>
          <w:rFonts w:cstheme="minorHAnsi"/>
          <w:sz w:val="24"/>
          <w:szCs w:val="24"/>
        </w:rPr>
        <w:t xml:space="preserve"> was not dominant in the surface seed banks in Undisturbed sites in NRE, nor did it appear in the surface seed banks of 1-year old exclosures in this estuary. </w:t>
      </w:r>
      <w:r w:rsidRPr="001D5F5D">
        <w:rPr>
          <w:rFonts w:ascii="Calibri" w:hAnsi="Calibri" w:cs="Calibri"/>
          <w:sz w:val="24"/>
          <w:szCs w:val="24"/>
        </w:rPr>
        <w:t>It is notable that indicator species analysis did not identify any species as significantly characterizing 1-year old exclosures at NRE (</w:t>
      </w:r>
      <w:r>
        <w:rPr>
          <w:rFonts w:ascii="Calibri" w:hAnsi="Calibri" w:cs="Calibri"/>
          <w:sz w:val="24"/>
          <w:szCs w:val="24"/>
        </w:rPr>
        <w:t>Table 3</w:t>
      </w:r>
      <w:r w:rsidRPr="001D5F5D">
        <w:rPr>
          <w:rFonts w:ascii="Calibri" w:hAnsi="Calibri" w:cs="Calibri"/>
          <w:sz w:val="24"/>
          <w:szCs w:val="24"/>
        </w:rPr>
        <w:t>).</w:t>
      </w:r>
      <w:r w:rsidRPr="001D5F5D">
        <w:rPr>
          <w:rFonts w:cstheme="minorHAnsi"/>
          <w:sz w:val="24"/>
          <w:szCs w:val="24"/>
        </w:rPr>
        <w:t xml:space="preserve"> This suggests that overgrazing and grubbing removes not only vegetative growth but contributes to the loss of propagules in the surface seed bank via erosion when vegetation is stripped away. Additionally, some native, </w:t>
      </w:r>
      <w:r w:rsidRPr="001D5F5D">
        <w:rPr>
          <w:rFonts w:cstheme="minorHAnsi"/>
          <w:sz w:val="24"/>
          <w:szCs w:val="24"/>
        </w:rPr>
        <w:lastRenderedPageBreak/>
        <w:t xml:space="preserve">clonally reproductive species did not appear to recover following disturbance. For example, </w:t>
      </w:r>
      <w:r w:rsidRPr="001D5F5D">
        <w:rPr>
          <w:rFonts w:cstheme="minorHAnsi"/>
          <w:i/>
          <w:iCs/>
          <w:sz w:val="24"/>
          <w:szCs w:val="24"/>
        </w:rPr>
        <w:t>S. subspicatum</w:t>
      </w:r>
      <w:r w:rsidRPr="001D5F5D">
        <w:rPr>
          <w:rFonts w:cstheme="minorHAnsi"/>
          <w:sz w:val="24"/>
          <w:szCs w:val="24"/>
        </w:rPr>
        <w:t xml:space="preserve"> was dominant in the above-ground vegetation and present in surface seed banks at Undisturbed sites in both estuaries, but neither plants nor seed were found in any other disturbance categories, including the 10-year old exclosures at LQRE (</w:t>
      </w:r>
      <w:r w:rsidR="00BA4800">
        <w:rPr>
          <w:rFonts w:cstheme="minorHAnsi"/>
          <w:sz w:val="24"/>
          <w:szCs w:val="24"/>
        </w:rPr>
        <w:t>Fig. 5</w:t>
      </w:r>
      <w:r w:rsidRPr="001D5F5D">
        <w:rPr>
          <w:rFonts w:cstheme="minorHAnsi"/>
          <w:sz w:val="24"/>
          <w:szCs w:val="24"/>
        </w:rPr>
        <w:t xml:space="preserve">). This may indicate that there are critical windows of opportunity in which native species propagule loads must recover </w:t>
      </w:r>
      <w:r w:rsidRPr="001D5F5D">
        <w:rPr>
          <w:rFonts w:ascii="Calibri" w:hAnsi="Calibri" w:cs="Calibri"/>
          <w:sz w:val="24"/>
          <w:szCs w:val="24"/>
        </w:rPr>
        <w:t>(</w:t>
      </w:r>
      <w:proofErr w:type="spellStart"/>
      <w:r w:rsidRPr="001D5F5D">
        <w:rPr>
          <w:rFonts w:ascii="Calibri" w:hAnsi="Calibri" w:cs="Calibri"/>
          <w:sz w:val="24"/>
          <w:szCs w:val="24"/>
        </w:rPr>
        <w:t>Fivash</w:t>
      </w:r>
      <w:proofErr w:type="spellEnd"/>
      <w:r w:rsidRPr="001D5F5D">
        <w:rPr>
          <w:rFonts w:ascii="Calibri" w:hAnsi="Calibri" w:cs="Calibri"/>
          <w:sz w:val="24"/>
          <w:szCs w:val="24"/>
        </w:rPr>
        <w:t xml:space="preserve"> et al., 2021)</w:t>
      </w:r>
      <w:r w:rsidRPr="001D5F5D">
        <w:rPr>
          <w:rFonts w:cstheme="minorHAnsi"/>
          <w:sz w:val="24"/>
          <w:szCs w:val="24"/>
        </w:rPr>
        <w:t xml:space="preserve">. If they are unlikely to disperse from the surrounding landscape, land managers may need to actively intervene through seed and plant addition to preserve their presence in the landscape. As with many restoration projects in degraded lands, this will likely need to be coupled with suppression of competitive non-native species invasion to offset the disproportionate representation of those species in the arriving propagule pool.  </w:t>
      </w:r>
    </w:p>
    <w:p w14:paraId="54E17159" w14:textId="19B0E184" w:rsidR="00257DF2" w:rsidRPr="001D5F5D" w:rsidRDefault="00257DF2" w:rsidP="007E7955">
      <w:pPr>
        <w:spacing w:line="480" w:lineRule="auto"/>
        <w:rPr>
          <w:rFonts w:cstheme="minorHAnsi"/>
          <w:sz w:val="24"/>
          <w:szCs w:val="24"/>
        </w:rPr>
      </w:pPr>
      <w:r w:rsidRPr="001D5F5D">
        <w:rPr>
          <w:rFonts w:cstheme="minorHAnsi"/>
          <w:sz w:val="24"/>
          <w:szCs w:val="24"/>
        </w:rPr>
        <w:tab/>
        <w:t xml:space="preserve">Successful passive restoration methods are dependent on the extent and duration of the disturbance </w:t>
      </w:r>
      <w:r w:rsidRPr="001D5F5D">
        <w:rPr>
          <w:rFonts w:ascii="Calibri" w:hAnsi="Calibri" w:cs="Calibri"/>
          <w:sz w:val="24"/>
          <w:szCs w:val="24"/>
        </w:rPr>
        <w:t>(Meli et al., 2017)</w:t>
      </w:r>
      <w:r w:rsidRPr="001D5F5D">
        <w:rPr>
          <w:rFonts w:cstheme="minorHAnsi"/>
          <w:sz w:val="24"/>
          <w:szCs w:val="24"/>
        </w:rPr>
        <w:t xml:space="preserve">, and may be inappropriate in ecosystems with a history of invasive species </w:t>
      </w:r>
      <w:r w:rsidRPr="001D5F5D">
        <w:rPr>
          <w:rFonts w:ascii="Calibri" w:hAnsi="Calibri" w:cs="Calibri"/>
          <w:sz w:val="24"/>
          <w:szCs w:val="24"/>
        </w:rPr>
        <w:t>(Shackelford et al., 2019)</w:t>
      </w:r>
      <w:r w:rsidRPr="001D5F5D">
        <w:rPr>
          <w:rFonts w:cstheme="minorHAnsi"/>
          <w:sz w:val="24"/>
          <w:szCs w:val="24"/>
        </w:rPr>
        <w:t xml:space="preserve">. If propagules of non-native, invasive species are competitively successful within the available windows of opportunity to the point of excluding native species richness and abundance, then passive restoration methods such as grazing exclosures are insufficient to restore habitat conditions comparable to the pre-disturbance state. We suggest that in these estuaries, passive recovery creates a temporal window of opportunity in which non-native invasive species like </w:t>
      </w:r>
      <w:r w:rsidRPr="001D5F5D">
        <w:rPr>
          <w:rFonts w:cstheme="minorHAnsi"/>
          <w:i/>
          <w:iCs/>
          <w:sz w:val="24"/>
          <w:szCs w:val="24"/>
        </w:rPr>
        <w:t>A. stolonifera</w:t>
      </w:r>
      <w:r w:rsidRPr="001D5F5D">
        <w:rPr>
          <w:rFonts w:cstheme="minorHAnsi"/>
          <w:sz w:val="24"/>
          <w:szCs w:val="24"/>
        </w:rPr>
        <w:t xml:space="preserve"> can gain dominance, and therefore active restoration is required for native communities to recover. Because the cumulative impacts of overgrazing and high propagule </w:t>
      </w:r>
      <w:proofErr w:type="gramStart"/>
      <w:r w:rsidRPr="001D5F5D">
        <w:rPr>
          <w:rFonts w:cstheme="minorHAnsi"/>
          <w:sz w:val="24"/>
          <w:szCs w:val="24"/>
        </w:rPr>
        <w:t>loads</w:t>
      </w:r>
      <w:proofErr w:type="gramEnd"/>
      <w:r w:rsidRPr="001D5F5D">
        <w:rPr>
          <w:rFonts w:cstheme="minorHAnsi"/>
          <w:sz w:val="24"/>
          <w:szCs w:val="24"/>
        </w:rPr>
        <w:t xml:space="preserve"> of non-native species may reset the recovery </w:t>
      </w:r>
      <w:r w:rsidR="00FE3842" w:rsidRPr="001D5F5D">
        <w:rPr>
          <w:rFonts w:cstheme="minorHAnsi"/>
          <w:sz w:val="24"/>
          <w:szCs w:val="24"/>
        </w:rPr>
        <w:t>trajectory with</w:t>
      </w:r>
      <w:r w:rsidRPr="001D5F5D">
        <w:rPr>
          <w:rFonts w:cstheme="minorHAnsi"/>
          <w:sz w:val="24"/>
          <w:szCs w:val="24"/>
        </w:rPr>
        <w:t xml:space="preserve"> unknown consequences for ecosystem function </w:t>
      </w:r>
      <w:r w:rsidRPr="001D5F5D">
        <w:rPr>
          <w:rFonts w:ascii="Calibri" w:hAnsi="Calibri" w:cs="Calibri"/>
          <w:sz w:val="24"/>
          <w:szCs w:val="24"/>
        </w:rPr>
        <w:t>(Mack et al., 2000)</w:t>
      </w:r>
      <w:r w:rsidRPr="001D5F5D">
        <w:rPr>
          <w:rFonts w:cstheme="minorHAnsi"/>
          <w:sz w:val="24"/>
          <w:szCs w:val="24"/>
        </w:rPr>
        <w:t xml:space="preserve">, we recommend actively restoring a diversity of native species as soon as possible following removal </w:t>
      </w:r>
      <w:r w:rsidRPr="001D5F5D">
        <w:rPr>
          <w:rFonts w:cstheme="minorHAnsi"/>
          <w:sz w:val="24"/>
          <w:szCs w:val="24"/>
        </w:rPr>
        <w:lastRenderedPageBreak/>
        <w:t xml:space="preserve">of grazing disturbance to expedite habitat recovery. Sites with a known abundance of non-native, invasive species may benefit from transplanting rooted plants (rather than seed), especially in areas of low to moderate salinity to increase recovery through clonal vegetative expansion </w:t>
      </w:r>
      <w:r w:rsidRPr="001D5F5D">
        <w:rPr>
          <w:rFonts w:ascii="Calibri" w:hAnsi="Calibri" w:cs="Calibri"/>
          <w:sz w:val="24"/>
          <w:szCs w:val="24"/>
        </w:rPr>
        <w:t>(Crain et al., 2008)</w:t>
      </w:r>
      <w:r w:rsidRPr="001D5F5D">
        <w:rPr>
          <w:rFonts w:cstheme="minorHAnsi"/>
          <w:sz w:val="24"/>
          <w:szCs w:val="24"/>
        </w:rPr>
        <w:t xml:space="preserve">. Seed additions may offer a cost-effective way to increase species diversity recruited to the restoration site, however reliance on seed alone to restore a disturbed area may not be </w:t>
      </w:r>
      <w:r>
        <w:rPr>
          <w:rFonts w:cstheme="minorHAnsi"/>
          <w:sz w:val="24"/>
          <w:szCs w:val="24"/>
        </w:rPr>
        <w:t xml:space="preserve">successful </w:t>
      </w:r>
      <w:r w:rsidRPr="001D5F5D">
        <w:rPr>
          <w:rFonts w:cstheme="minorHAnsi"/>
          <w:sz w:val="24"/>
          <w:szCs w:val="24"/>
        </w:rPr>
        <w:t xml:space="preserve">due to uncertain germination and seedling survival rates. While a species may grow robustly across a given salinity and/or elevation gradient, the species’ germination and establishment success is highly restricted by microsite variation in salinity and elevation </w:t>
      </w:r>
      <w:r w:rsidRPr="00665D69">
        <w:rPr>
          <w:rFonts w:ascii="Calibri" w:hAnsi="Calibri" w:cs="Calibri"/>
          <w:sz w:val="24"/>
        </w:rPr>
        <w:t>(Janousek &amp; Folger, 2013; Lane, 2022)</w:t>
      </w:r>
      <w:r w:rsidRPr="001D5F5D">
        <w:rPr>
          <w:rFonts w:cstheme="minorHAnsi"/>
          <w:sz w:val="24"/>
          <w:szCs w:val="24"/>
        </w:rPr>
        <w:t xml:space="preserve">. </w:t>
      </w:r>
    </w:p>
    <w:p w14:paraId="7A572A7B" w14:textId="035F86F7" w:rsidR="00F82F9E" w:rsidRPr="00FE3842" w:rsidRDefault="00257DF2" w:rsidP="007E7955">
      <w:pPr>
        <w:spacing w:line="480" w:lineRule="auto"/>
        <w:rPr>
          <w:rFonts w:cstheme="minorHAnsi"/>
          <w:sz w:val="24"/>
          <w:szCs w:val="24"/>
        </w:rPr>
      </w:pPr>
      <w:r w:rsidRPr="001D5F5D">
        <w:rPr>
          <w:rFonts w:cstheme="minorHAnsi"/>
          <w:sz w:val="24"/>
          <w:szCs w:val="24"/>
        </w:rPr>
        <w:tab/>
        <w:t xml:space="preserve">Our findings suggest there is a window of opportunity to influence the recovery pathway of estuaries following geese removal. The blank slate produced by intensive geese grubbing and grazing creates a weed-shaped hole </w:t>
      </w:r>
      <w:r w:rsidRPr="001D5F5D">
        <w:rPr>
          <w:rFonts w:ascii="Calibri" w:hAnsi="Calibri" w:cs="Calibri"/>
          <w:sz w:val="24"/>
          <w:szCs w:val="24"/>
        </w:rPr>
        <w:t>(Buckley et al., 2007)</w:t>
      </w:r>
      <w:r w:rsidRPr="001D5F5D">
        <w:rPr>
          <w:rFonts w:cstheme="minorHAnsi"/>
          <w:sz w:val="24"/>
          <w:szCs w:val="24"/>
        </w:rPr>
        <w:t xml:space="preserve"> unless management intervenes. High levels of non-native species invasion have been found in other protected Pacific Northwest estuaries, and our findings reiterate the need for regular monitoring and active management of estuarine systems (see also Stewart et al., 2023, Lane et al., in </w:t>
      </w:r>
      <w:r w:rsidR="007B1A48">
        <w:rPr>
          <w:rFonts w:cstheme="minorHAnsi"/>
          <w:sz w:val="24"/>
          <w:szCs w:val="24"/>
        </w:rPr>
        <w:t>revision</w:t>
      </w:r>
      <w:r w:rsidRPr="001D5F5D">
        <w:rPr>
          <w:rFonts w:cstheme="minorHAnsi"/>
          <w:sz w:val="24"/>
          <w:szCs w:val="24"/>
        </w:rPr>
        <w:t xml:space="preserve">). Moreover, estuaries throughout the Pacific Northwest comprise complex Indigenous food systems supporting many culturally important plant species often referred to as root gardens </w:t>
      </w:r>
      <w:r w:rsidRPr="00665D69">
        <w:rPr>
          <w:rFonts w:ascii="Calibri" w:hAnsi="Calibri" w:cs="Calibri"/>
          <w:sz w:val="24"/>
        </w:rPr>
        <w:t>(Deur et al., 2013; Turner et al., 2013)</w:t>
      </w:r>
      <w:r w:rsidRPr="001D5F5D">
        <w:rPr>
          <w:rFonts w:cstheme="minorHAnsi"/>
          <w:sz w:val="24"/>
          <w:szCs w:val="24"/>
        </w:rPr>
        <w:t xml:space="preserve">. Restoration following Canada geese removal creates an opportunity for the re-instatement of Indigenous stewardship practices to revive these ancient food systems and broader land management practices.  This will entail partnerships and support of local Indigenous communities as they work to reinstate their cultural practices and achieve food sovereignty.  </w:t>
      </w:r>
    </w:p>
    <w:p w14:paraId="61E58850" w14:textId="77777777" w:rsidR="00D45FFA" w:rsidRDefault="00D45FFA" w:rsidP="00D45FFA">
      <w:pPr>
        <w:pStyle w:val="Heading1"/>
        <w:numPr>
          <w:ilvl w:val="0"/>
          <w:numId w:val="0"/>
        </w:numPr>
        <w:ind w:left="432" w:hanging="432"/>
      </w:pPr>
      <w:r>
        <w:lastRenderedPageBreak/>
        <w:t>Literature Cited</w:t>
      </w:r>
    </w:p>
    <w:p w14:paraId="00451BF0" w14:textId="77777777" w:rsidR="00CE27E3" w:rsidRPr="004C17BC" w:rsidRDefault="00CE27E3" w:rsidP="00CE27E3">
      <w:pPr>
        <w:pStyle w:val="Bibliography"/>
        <w:ind w:left="720" w:hanging="720"/>
        <w:rPr>
          <w:rFonts w:ascii="Calibri" w:hAnsi="Calibri" w:cs="Calibri"/>
        </w:rPr>
      </w:pPr>
      <w:r>
        <w:fldChar w:fldCharType="begin"/>
      </w:r>
      <w:r>
        <w:instrText xml:space="preserve"> ADDIN ZOTERO_BIBL {"uncited":[],"omitted":[],"custom":[]} CSL_BIBLIOGRAPHY </w:instrText>
      </w:r>
      <w:r>
        <w:fldChar w:fldCharType="separate"/>
      </w:r>
      <w:r w:rsidRPr="004C17BC">
        <w:rPr>
          <w:rFonts w:ascii="Calibri" w:hAnsi="Calibri" w:cs="Calibri"/>
        </w:rPr>
        <w:t xml:space="preserve">Abernethy, V. J., &amp; </w:t>
      </w:r>
      <w:proofErr w:type="spellStart"/>
      <w:r w:rsidRPr="004C17BC">
        <w:rPr>
          <w:rFonts w:ascii="Calibri" w:hAnsi="Calibri" w:cs="Calibri"/>
        </w:rPr>
        <w:t>Willby</w:t>
      </w:r>
      <w:proofErr w:type="spellEnd"/>
      <w:r w:rsidRPr="004C17BC">
        <w:rPr>
          <w:rFonts w:ascii="Calibri" w:hAnsi="Calibri" w:cs="Calibri"/>
        </w:rPr>
        <w:t xml:space="preserve">, N. J. (1999). Changes along a disturbance gradient in the density and composition of propagule banks in floodplain aquatic habitats. </w:t>
      </w:r>
      <w:r w:rsidRPr="004C17BC">
        <w:rPr>
          <w:rFonts w:ascii="Calibri" w:hAnsi="Calibri" w:cs="Calibri"/>
          <w:i/>
          <w:iCs/>
        </w:rPr>
        <w:t>Plant Ecology</w:t>
      </w:r>
      <w:r w:rsidRPr="004C17BC">
        <w:rPr>
          <w:rFonts w:ascii="Calibri" w:hAnsi="Calibri" w:cs="Calibri"/>
        </w:rPr>
        <w:t xml:space="preserve">, </w:t>
      </w:r>
      <w:r w:rsidRPr="004C17BC">
        <w:rPr>
          <w:rFonts w:ascii="Calibri" w:hAnsi="Calibri" w:cs="Calibri"/>
          <w:i/>
          <w:iCs/>
        </w:rPr>
        <w:t>140</w:t>
      </w:r>
      <w:r w:rsidRPr="004C17BC">
        <w:rPr>
          <w:rFonts w:ascii="Calibri" w:hAnsi="Calibri" w:cs="Calibri"/>
        </w:rPr>
        <w:t>(2), 177–190. https://doi.org/10.1023/A:1009779411686</w:t>
      </w:r>
    </w:p>
    <w:p w14:paraId="764D75C4"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Aicher, R. J., Larios, L., &amp; Suding, K. N. (2011). Seed Supply, Recruitment, and Assembly: Quantifying Relative Seed and Establishment Limitation in a Plant Community Context. </w:t>
      </w:r>
      <w:r w:rsidRPr="004C17BC">
        <w:rPr>
          <w:rFonts w:ascii="Calibri" w:hAnsi="Calibri" w:cs="Calibri"/>
          <w:i/>
          <w:iCs/>
        </w:rPr>
        <w:t>The American Naturalist</w:t>
      </w:r>
      <w:r w:rsidRPr="004C17BC">
        <w:rPr>
          <w:rFonts w:ascii="Calibri" w:hAnsi="Calibri" w:cs="Calibri"/>
        </w:rPr>
        <w:t xml:space="preserve">, </w:t>
      </w:r>
      <w:r w:rsidRPr="004C17BC">
        <w:rPr>
          <w:rFonts w:ascii="Calibri" w:hAnsi="Calibri" w:cs="Calibri"/>
          <w:i/>
          <w:iCs/>
        </w:rPr>
        <w:t>178</w:t>
      </w:r>
      <w:r w:rsidRPr="004C17BC">
        <w:rPr>
          <w:rFonts w:ascii="Calibri" w:hAnsi="Calibri" w:cs="Calibri"/>
        </w:rPr>
        <w:t>(4), 464–477. https://doi.org/10.1086/661900</w:t>
      </w:r>
    </w:p>
    <w:p w14:paraId="14ABC729"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Balke, T., Herman, P. M. J., &amp; Bouma, T. J. (2014). Critical transitions in disturbance-driven ecosystems: Identifying Windows of Opportunity for recovery. </w:t>
      </w:r>
      <w:r w:rsidRPr="004C17BC">
        <w:rPr>
          <w:rFonts w:ascii="Calibri" w:hAnsi="Calibri" w:cs="Calibri"/>
          <w:i/>
          <w:iCs/>
        </w:rPr>
        <w:t>Journal of Ecology</w:t>
      </w:r>
      <w:r w:rsidRPr="004C17BC">
        <w:rPr>
          <w:rFonts w:ascii="Calibri" w:hAnsi="Calibri" w:cs="Calibri"/>
        </w:rPr>
        <w:t xml:space="preserve">, </w:t>
      </w:r>
      <w:r w:rsidRPr="004C17BC">
        <w:rPr>
          <w:rFonts w:ascii="Calibri" w:hAnsi="Calibri" w:cs="Calibri"/>
          <w:i/>
          <w:iCs/>
        </w:rPr>
        <w:t>102</w:t>
      </w:r>
      <w:r w:rsidRPr="004C17BC">
        <w:rPr>
          <w:rFonts w:ascii="Calibri" w:hAnsi="Calibri" w:cs="Calibri"/>
        </w:rPr>
        <w:t>(3), 700–708. https://doi.org/10.1111/1365-2745.12241</w:t>
      </w:r>
    </w:p>
    <w:p w14:paraId="1D04216D"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Borde, A. B., Diefenderfer, H. L., Cullinan, V. I., Zimmerman, S. A., &amp; Thom, R. M. (2020). Ecohydrology of wetland plant communities along an estuarine to tidal river gradient. </w:t>
      </w:r>
      <w:r w:rsidRPr="004C17BC">
        <w:rPr>
          <w:rFonts w:ascii="Calibri" w:hAnsi="Calibri" w:cs="Calibri"/>
          <w:i/>
          <w:iCs/>
        </w:rPr>
        <w:t>Ecosphere</w:t>
      </w:r>
      <w:r w:rsidRPr="004C17BC">
        <w:rPr>
          <w:rFonts w:ascii="Calibri" w:hAnsi="Calibri" w:cs="Calibri"/>
        </w:rPr>
        <w:t xml:space="preserve">, </w:t>
      </w:r>
      <w:r w:rsidRPr="004C17BC">
        <w:rPr>
          <w:rFonts w:ascii="Calibri" w:hAnsi="Calibri" w:cs="Calibri"/>
          <w:i/>
          <w:iCs/>
        </w:rPr>
        <w:t>11</w:t>
      </w:r>
      <w:r w:rsidRPr="004C17BC">
        <w:rPr>
          <w:rFonts w:ascii="Calibri" w:hAnsi="Calibri" w:cs="Calibri"/>
        </w:rPr>
        <w:t>(9), e03185. https://doi.org/10.1002/ecs2.3185</w:t>
      </w:r>
    </w:p>
    <w:p w14:paraId="4283088C"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Buchsbaum, R., &amp; </w:t>
      </w:r>
      <w:proofErr w:type="spellStart"/>
      <w:r w:rsidRPr="004C17BC">
        <w:rPr>
          <w:rFonts w:ascii="Calibri" w:hAnsi="Calibri" w:cs="Calibri"/>
        </w:rPr>
        <w:t>Valiela</w:t>
      </w:r>
      <w:proofErr w:type="spellEnd"/>
      <w:r w:rsidRPr="004C17BC">
        <w:rPr>
          <w:rFonts w:ascii="Calibri" w:hAnsi="Calibri" w:cs="Calibri"/>
        </w:rPr>
        <w:t xml:space="preserve">, I. (1987). Variability in the chemistry of estuarine plants and its effect on feeding by Canada geese. </w:t>
      </w:r>
      <w:proofErr w:type="spellStart"/>
      <w:r w:rsidRPr="004C17BC">
        <w:rPr>
          <w:rFonts w:ascii="Calibri" w:hAnsi="Calibri" w:cs="Calibri"/>
          <w:i/>
          <w:iCs/>
        </w:rPr>
        <w:t>Oecologia</w:t>
      </w:r>
      <w:proofErr w:type="spellEnd"/>
      <w:r w:rsidRPr="004C17BC">
        <w:rPr>
          <w:rFonts w:ascii="Calibri" w:hAnsi="Calibri" w:cs="Calibri"/>
        </w:rPr>
        <w:t xml:space="preserve">, </w:t>
      </w:r>
      <w:r w:rsidRPr="004C17BC">
        <w:rPr>
          <w:rFonts w:ascii="Calibri" w:hAnsi="Calibri" w:cs="Calibri"/>
          <w:i/>
          <w:iCs/>
        </w:rPr>
        <w:t>73</w:t>
      </w:r>
      <w:r w:rsidRPr="004C17BC">
        <w:rPr>
          <w:rFonts w:ascii="Calibri" w:hAnsi="Calibri" w:cs="Calibri"/>
        </w:rPr>
        <w:t>(1), 146–153. https://doi.org/10.1007/BF00376991</w:t>
      </w:r>
    </w:p>
    <w:p w14:paraId="37EBB44F"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Buckley, Y. M., Bolker, B. M., &amp; Rees, M. (2007). Disturbance, invasion and re-invasion: Managing the weed-shaped hole in disturbed ecosystems. </w:t>
      </w:r>
      <w:r w:rsidRPr="004C17BC">
        <w:rPr>
          <w:rFonts w:ascii="Calibri" w:hAnsi="Calibri" w:cs="Calibri"/>
          <w:i/>
          <w:iCs/>
        </w:rPr>
        <w:t>Ecology Letters</w:t>
      </w:r>
      <w:r w:rsidRPr="004C17BC">
        <w:rPr>
          <w:rFonts w:ascii="Calibri" w:hAnsi="Calibri" w:cs="Calibri"/>
        </w:rPr>
        <w:t xml:space="preserve">, </w:t>
      </w:r>
      <w:r w:rsidRPr="004C17BC">
        <w:rPr>
          <w:rFonts w:ascii="Calibri" w:hAnsi="Calibri" w:cs="Calibri"/>
          <w:i/>
          <w:iCs/>
        </w:rPr>
        <w:t>10</w:t>
      </w:r>
      <w:r w:rsidRPr="004C17BC">
        <w:rPr>
          <w:rFonts w:ascii="Calibri" w:hAnsi="Calibri" w:cs="Calibri"/>
        </w:rPr>
        <w:t>(9), 809–817. https://doi.org/10.1111/j.1461-0248.2007.01067.x</w:t>
      </w:r>
    </w:p>
    <w:p w14:paraId="6870FF2E"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Clausen, P., &amp; Percival, S. M. (1998). Changes in distribution and habitat use of Svalbard light-bellied brent geese Branta </w:t>
      </w:r>
      <w:proofErr w:type="spellStart"/>
      <w:r w:rsidRPr="004C17BC">
        <w:rPr>
          <w:rFonts w:ascii="Calibri" w:hAnsi="Calibri" w:cs="Calibri"/>
        </w:rPr>
        <w:t>bernicla</w:t>
      </w:r>
      <w:proofErr w:type="spellEnd"/>
      <w:r w:rsidRPr="004C17BC">
        <w:rPr>
          <w:rFonts w:ascii="Calibri" w:hAnsi="Calibri" w:cs="Calibri"/>
        </w:rPr>
        <w:t xml:space="preserve"> </w:t>
      </w:r>
      <w:proofErr w:type="spellStart"/>
      <w:r w:rsidRPr="004C17BC">
        <w:rPr>
          <w:rFonts w:ascii="Calibri" w:hAnsi="Calibri" w:cs="Calibri"/>
        </w:rPr>
        <w:t>hrota</w:t>
      </w:r>
      <w:proofErr w:type="spellEnd"/>
      <w:r w:rsidRPr="004C17BC">
        <w:rPr>
          <w:rFonts w:ascii="Calibri" w:hAnsi="Calibri" w:cs="Calibri"/>
        </w:rPr>
        <w:t xml:space="preserve">, 1980-1995: Driven by Zostera availability. </w:t>
      </w:r>
      <w:proofErr w:type="spellStart"/>
      <w:r w:rsidRPr="004C17BC">
        <w:rPr>
          <w:rFonts w:ascii="Calibri" w:hAnsi="Calibri" w:cs="Calibri"/>
          <w:i/>
          <w:iCs/>
        </w:rPr>
        <w:t>Skrifter</w:t>
      </w:r>
      <w:proofErr w:type="spellEnd"/>
      <w:r w:rsidRPr="004C17BC">
        <w:rPr>
          <w:rFonts w:ascii="Calibri" w:hAnsi="Calibri" w:cs="Calibri"/>
          <w:i/>
          <w:iCs/>
        </w:rPr>
        <w:t xml:space="preserve">-Norsk </w:t>
      </w:r>
      <w:proofErr w:type="spellStart"/>
      <w:r w:rsidRPr="004C17BC">
        <w:rPr>
          <w:rFonts w:ascii="Calibri" w:hAnsi="Calibri" w:cs="Calibri"/>
          <w:i/>
          <w:iCs/>
        </w:rPr>
        <w:t>Polarinstitutt</w:t>
      </w:r>
      <w:proofErr w:type="spellEnd"/>
      <w:r w:rsidRPr="004C17BC">
        <w:rPr>
          <w:rFonts w:ascii="Calibri" w:hAnsi="Calibri" w:cs="Calibri"/>
        </w:rPr>
        <w:t xml:space="preserve">, </w:t>
      </w:r>
      <w:r w:rsidRPr="004C17BC">
        <w:rPr>
          <w:rFonts w:ascii="Calibri" w:hAnsi="Calibri" w:cs="Calibri"/>
          <w:i/>
          <w:iCs/>
        </w:rPr>
        <w:t>200</w:t>
      </w:r>
      <w:r w:rsidRPr="004C17BC">
        <w:rPr>
          <w:rFonts w:ascii="Calibri" w:hAnsi="Calibri" w:cs="Calibri"/>
        </w:rPr>
        <w:t>, 245–268.</w:t>
      </w:r>
    </w:p>
    <w:p w14:paraId="51FA88A9" w14:textId="77777777" w:rsidR="00CE27E3" w:rsidRDefault="00CE27E3" w:rsidP="00CE27E3">
      <w:pPr>
        <w:pStyle w:val="Bibliography"/>
        <w:ind w:left="720" w:hanging="720"/>
        <w:rPr>
          <w:rFonts w:ascii="Calibri" w:hAnsi="Calibri" w:cs="Calibri"/>
        </w:rPr>
      </w:pPr>
      <w:r w:rsidRPr="004C17BC">
        <w:rPr>
          <w:rFonts w:ascii="Calibri" w:hAnsi="Calibri" w:cs="Calibri"/>
        </w:rPr>
        <w:t xml:space="preserve">Clermont, H. (2010). </w:t>
      </w:r>
      <w:r w:rsidRPr="004C17BC">
        <w:rPr>
          <w:rFonts w:ascii="Calibri" w:hAnsi="Calibri" w:cs="Calibri"/>
          <w:i/>
          <w:iCs/>
        </w:rPr>
        <w:t>Little Qualicum River Estuary Regional Conservation Area Guardian of the Estuary 2010-2019 Management Plan</w:t>
      </w:r>
      <w:r w:rsidRPr="004C17BC">
        <w:rPr>
          <w:rFonts w:ascii="Calibri" w:hAnsi="Calibri" w:cs="Calibri"/>
        </w:rPr>
        <w:t>. Regional District of Nanaimo. https://www.rdn.bc.ca/cms/wpattachments/wpID2040atID3337.pdf</w:t>
      </w:r>
    </w:p>
    <w:p w14:paraId="5E152060" w14:textId="0BB7508D" w:rsidR="00F443AC" w:rsidRPr="00F443AC" w:rsidRDefault="00F443AC" w:rsidP="007B1351">
      <w:pPr>
        <w:pStyle w:val="Bibliography"/>
        <w:ind w:left="720" w:hanging="720"/>
        <w:rPr>
          <w:rFonts w:ascii="Calibri" w:hAnsi="Calibri" w:cs="Calibri"/>
        </w:rPr>
      </w:pPr>
      <w:r w:rsidRPr="00F443AC">
        <w:rPr>
          <w:rFonts w:ascii="Calibri" w:hAnsi="Calibri" w:cs="Calibri"/>
        </w:rPr>
        <w:t xml:space="preserve">Connell, J. H., &amp; </w:t>
      </w:r>
      <w:proofErr w:type="spellStart"/>
      <w:r w:rsidRPr="00F443AC">
        <w:rPr>
          <w:rFonts w:ascii="Calibri" w:hAnsi="Calibri" w:cs="Calibri"/>
        </w:rPr>
        <w:t>Slatyer</w:t>
      </w:r>
      <w:proofErr w:type="spellEnd"/>
      <w:r w:rsidRPr="00F443AC">
        <w:rPr>
          <w:rFonts w:ascii="Calibri" w:hAnsi="Calibri" w:cs="Calibri"/>
        </w:rPr>
        <w:t>, R. O. (1977). Mechanisms of Succession in Natural Communities and Their Role in Community Stability and Organization. The American Naturalist, 111(982), 1119–1144.</w:t>
      </w:r>
    </w:p>
    <w:p w14:paraId="1359AC64"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Crain, C. M., Albertson, L. K., &amp; Bertness, M. D. (2008). Secondary Succession Dynamics in Estuarine Marshes Across Landscape-Scale Salinity Gradients. </w:t>
      </w:r>
      <w:r w:rsidRPr="004C17BC">
        <w:rPr>
          <w:rFonts w:ascii="Calibri" w:hAnsi="Calibri" w:cs="Calibri"/>
          <w:i/>
          <w:iCs/>
        </w:rPr>
        <w:t>Ecology</w:t>
      </w:r>
      <w:r w:rsidRPr="004C17BC">
        <w:rPr>
          <w:rFonts w:ascii="Calibri" w:hAnsi="Calibri" w:cs="Calibri"/>
        </w:rPr>
        <w:t xml:space="preserve">, </w:t>
      </w:r>
      <w:r w:rsidRPr="004C17BC">
        <w:rPr>
          <w:rFonts w:ascii="Calibri" w:hAnsi="Calibri" w:cs="Calibri"/>
          <w:i/>
          <w:iCs/>
        </w:rPr>
        <w:t>89</w:t>
      </w:r>
      <w:r w:rsidRPr="004C17BC">
        <w:rPr>
          <w:rFonts w:ascii="Calibri" w:hAnsi="Calibri" w:cs="Calibri"/>
        </w:rPr>
        <w:t>(10), 2889–2899. https://doi.org/10.1890/07-1527.1</w:t>
      </w:r>
    </w:p>
    <w:p w14:paraId="72372881"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Dawe, N., Boyd, S., </w:t>
      </w:r>
      <w:proofErr w:type="spellStart"/>
      <w:r w:rsidRPr="004C17BC">
        <w:rPr>
          <w:rFonts w:ascii="Calibri" w:hAnsi="Calibri" w:cs="Calibri"/>
        </w:rPr>
        <w:t>Buechert</w:t>
      </w:r>
      <w:proofErr w:type="spellEnd"/>
      <w:r w:rsidRPr="004C17BC">
        <w:rPr>
          <w:rFonts w:ascii="Calibri" w:hAnsi="Calibri" w:cs="Calibri"/>
        </w:rPr>
        <w:t xml:space="preserve">, R., &amp; Stewart, A. (2011). Recent, significant changes to the native marsh vegetation of the Little Qualicum River estuary, British Columbia; a case of too many Canada Geese (Branta canadensis)? </w:t>
      </w:r>
      <w:r w:rsidRPr="004C17BC">
        <w:rPr>
          <w:rFonts w:ascii="Calibri" w:hAnsi="Calibri" w:cs="Calibri"/>
          <w:i/>
          <w:iCs/>
        </w:rPr>
        <w:t>Journal of the British Columbia Field Ornithologists</w:t>
      </w:r>
      <w:r w:rsidRPr="004C17BC">
        <w:rPr>
          <w:rFonts w:ascii="Calibri" w:hAnsi="Calibri" w:cs="Calibri"/>
        </w:rPr>
        <w:t xml:space="preserve">, </w:t>
      </w:r>
      <w:r w:rsidRPr="004C17BC">
        <w:rPr>
          <w:rFonts w:ascii="Calibri" w:hAnsi="Calibri" w:cs="Calibri"/>
          <w:i/>
          <w:iCs/>
        </w:rPr>
        <w:t>21</w:t>
      </w:r>
      <w:r w:rsidRPr="004C17BC">
        <w:rPr>
          <w:rFonts w:ascii="Calibri" w:hAnsi="Calibri" w:cs="Calibri"/>
        </w:rPr>
        <w:t>, 11–31.</w:t>
      </w:r>
    </w:p>
    <w:p w14:paraId="4919D533"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Dawe, N. K., &amp; Stewart, A. C. (2010). The Canada Goose (Branta canadensis) on Vancouver Island, British Columbia. </w:t>
      </w:r>
      <w:r w:rsidRPr="004C17BC">
        <w:rPr>
          <w:rFonts w:ascii="Calibri" w:hAnsi="Calibri" w:cs="Calibri"/>
          <w:i/>
          <w:iCs/>
        </w:rPr>
        <w:t>British Columbia Birds</w:t>
      </w:r>
      <w:r w:rsidRPr="004C17BC">
        <w:rPr>
          <w:rFonts w:ascii="Calibri" w:hAnsi="Calibri" w:cs="Calibri"/>
        </w:rPr>
        <w:t xml:space="preserve">, </w:t>
      </w:r>
      <w:r w:rsidRPr="004C17BC">
        <w:rPr>
          <w:rFonts w:ascii="Calibri" w:hAnsi="Calibri" w:cs="Calibri"/>
          <w:i/>
          <w:iCs/>
        </w:rPr>
        <w:t>20</w:t>
      </w:r>
      <w:r w:rsidRPr="004C17BC">
        <w:rPr>
          <w:rFonts w:ascii="Calibri" w:hAnsi="Calibri" w:cs="Calibri"/>
        </w:rPr>
        <w:t>, 18.</w:t>
      </w:r>
    </w:p>
    <w:p w14:paraId="7F14D493"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Deur, D., Turner, N., Dick, A., Sewid-Smith, D., &amp; </w:t>
      </w:r>
      <w:proofErr w:type="spellStart"/>
      <w:r w:rsidRPr="004C17BC">
        <w:rPr>
          <w:rFonts w:ascii="Calibri" w:hAnsi="Calibri" w:cs="Calibri"/>
        </w:rPr>
        <w:t>Recalma</w:t>
      </w:r>
      <w:proofErr w:type="spellEnd"/>
      <w:r w:rsidRPr="004C17BC">
        <w:rPr>
          <w:rFonts w:ascii="Calibri" w:hAnsi="Calibri" w:cs="Calibri"/>
        </w:rPr>
        <w:t xml:space="preserve">-Clutesi, K. (2013). Subsistence and Resistance on the British Columbia Coast: </w:t>
      </w:r>
      <w:proofErr w:type="spellStart"/>
      <w:r w:rsidRPr="004C17BC">
        <w:rPr>
          <w:rFonts w:ascii="Calibri" w:hAnsi="Calibri" w:cs="Calibri"/>
        </w:rPr>
        <w:t>Kingcome</w:t>
      </w:r>
      <w:proofErr w:type="spellEnd"/>
      <w:r w:rsidRPr="004C17BC">
        <w:rPr>
          <w:rFonts w:ascii="Calibri" w:hAnsi="Calibri" w:cs="Calibri"/>
        </w:rPr>
        <w:t xml:space="preserve"> Village’s Estuarine Gardens as Contested Space. </w:t>
      </w:r>
      <w:r w:rsidRPr="004C17BC">
        <w:rPr>
          <w:rFonts w:ascii="Calibri" w:hAnsi="Calibri" w:cs="Calibri"/>
          <w:i/>
          <w:iCs/>
        </w:rPr>
        <w:t>BC Studies</w:t>
      </w:r>
      <w:r w:rsidRPr="004C17BC">
        <w:rPr>
          <w:rFonts w:ascii="Calibri" w:hAnsi="Calibri" w:cs="Calibri"/>
        </w:rPr>
        <w:t>. https://pdxscholar.library.pdx.edu/anth_fac/77</w:t>
      </w:r>
    </w:p>
    <w:p w14:paraId="5D2BFD71"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Diefenderfer, H. L., Steyer, G. D., Harwell, M. C., LoSchiavo, A. J., Neckles, H. A., Burdick, D. M., Johnson, G. E., </w:t>
      </w:r>
      <w:proofErr w:type="spellStart"/>
      <w:r w:rsidRPr="004C17BC">
        <w:rPr>
          <w:rFonts w:ascii="Calibri" w:hAnsi="Calibri" w:cs="Calibri"/>
        </w:rPr>
        <w:t>Buenau</w:t>
      </w:r>
      <w:proofErr w:type="spellEnd"/>
      <w:r w:rsidRPr="004C17BC">
        <w:rPr>
          <w:rFonts w:ascii="Calibri" w:hAnsi="Calibri" w:cs="Calibri"/>
        </w:rPr>
        <w:t xml:space="preserve">, K. E., Trujillo, E., Callaway, J. C., Thom, R. M., </w:t>
      </w:r>
      <w:proofErr w:type="spellStart"/>
      <w:r w:rsidRPr="004C17BC">
        <w:rPr>
          <w:rFonts w:ascii="Calibri" w:hAnsi="Calibri" w:cs="Calibri"/>
        </w:rPr>
        <w:t>Ganju</w:t>
      </w:r>
      <w:proofErr w:type="spellEnd"/>
      <w:r w:rsidRPr="004C17BC">
        <w:rPr>
          <w:rFonts w:ascii="Calibri" w:hAnsi="Calibri" w:cs="Calibri"/>
        </w:rPr>
        <w:t xml:space="preserve">, N. K., &amp; Twilley, R. R. (2021). Applying cumulative effects to strategically advance large-scale ecosystem restoration. </w:t>
      </w:r>
      <w:r w:rsidRPr="004C17BC">
        <w:rPr>
          <w:rFonts w:ascii="Calibri" w:hAnsi="Calibri" w:cs="Calibri"/>
          <w:i/>
          <w:iCs/>
        </w:rPr>
        <w:t>Frontiers in Ecology and the Environment</w:t>
      </w:r>
      <w:r w:rsidRPr="004C17BC">
        <w:rPr>
          <w:rFonts w:ascii="Calibri" w:hAnsi="Calibri" w:cs="Calibri"/>
        </w:rPr>
        <w:t xml:space="preserve">, </w:t>
      </w:r>
      <w:r w:rsidRPr="004C17BC">
        <w:rPr>
          <w:rFonts w:ascii="Calibri" w:hAnsi="Calibri" w:cs="Calibri"/>
          <w:i/>
          <w:iCs/>
        </w:rPr>
        <w:t>19</w:t>
      </w:r>
      <w:r w:rsidRPr="004C17BC">
        <w:rPr>
          <w:rFonts w:ascii="Calibri" w:hAnsi="Calibri" w:cs="Calibri"/>
        </w:rPr>
        <w:t>(2), 108–117. https://doi.org/10.1002/fee.2274</w:t>
      </w:r>
    </w:p>
    <w:p w14:paraId="7BA6C392"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Douglas, G. W., Meidinger, D., &amp; Pojar, J. (Eds.). (1998). </w:t>
      </w:r>
      <w:r w:rsidRPr="004C17BC">
        <w:rPr>
          <w:rFonts w:ascii="Calibri" w:hAnsi="Calibri" w:cs="Calibri"/>
          <w:i/>
          <w:iCs/>
        </w:rPr>
        <w:t>Illustrated flora of British Columbia. Vols. 1-8</w:t>
      </w:r>
      <w:r w:rsidRPr="004C17BC">
        <w:rPr>
          <w:rFonts w:ascii="Calibri" w:hAnsi="Calibri" w:cs="Calibri"/>
        </w:rPr>
        <w:t>. B.C. Min. Environ., Lands and Parks, and B.C. Min. For. https://www.cabdirect.org/cabdirect/abstract/20013088729</w:t>
      </w:r>
    </w:p>
    <w:p w14:paraId="47A9AAFB"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Finn, R. J. R., Chalifour, L., Gergel, S. E., Hinch, S. G., Scott, D. C., &amp; Martin, T. G. (2021). Quantifying lost and inaccessible habitat for Pacific salmon in Canada’s Lower Fraser River. </w:t>
      </w:r>
      <w:r w:rsidRPr="004C17BC">
        <w:rPr>
          <w:rFonts w:ascii="Calibri" w:hAnsi="Calibri" w:cs="Calibri"/>
          <w:i/>
          <w:iCs/>
        </w:rPr>
        <w:t>Ecosphere</w:t>
      </w:r>
      <w:r w:rsidRPr="004C17BC">
        <w:rPr>
          <w:rFonts w:ascii="Calibri" w:hAnsi="Calibri" w:cs="Calibri"/>
        </w:rPr>
        <w:t xml:space="preserve">, </w:t>
      </w:r>
      <w:r w:rsidRPr="004C17BC">
        <w:rPr>
          <w:rFonts w:ascii="Calibri" w:hAnsi="Calibri" w:cs="Calibri"/>
          <w:i/>
          <w:iCs/>
        </w:rPr>
        <w:t>12</w:t>
      </w:r>
      <w:r w:rsidRPr="004C17BC">
        <w:rPr>
          <w:rFonts w:ascii="Calibri" w:hAnsi="Calibri" w:cs="Calibri"/>
        </w:rPr>
        <w:t>(7), e03646. https://doi.org/10.1002/ecs2.3646</w:t>
      </w:r>
    </w:p>
    <w:p w14:paraId="53112B3C" w14:textId="77777777" w:rsidR="00CE27E3" w:rsidRPr="004C17BC" w:rsidRDefault="00CE27E3" w:rsidP="00CE27E3">
      <w:pPr>
        <w:pStyle w:val="Bibliography"/>
        <w:ind w:left="720" w:hanging="720"/>
        <w:rPr>
          <w:rFonts w:ascii="Calibri" w:hAnsi="Calibri" w:cs="Calibri"/>
        </w:rPr>
      </w:pPr>
      <w:proofErr w:type="spellStart"/>
      <w:r w:rsidRPr="004C17BC">
        <w:rPr>
          <w:rFonts w:ascii="Calibri" w:hAnsi="Calibri" w:cs="Calibri"/>
        </w:rPr>
        <w:t>Fivash</w:t>
      </w:r>
      <w:proofErr w:type="spellEnd"/>
      <w:r w:rsidRPr="004C17BC">
        <w:rPr>
          <w:rFonts w:ascii="Calibri" w:hAnsi="Calibri" w:cs="Calibri"/>
        </w:rPr>
        <w:t xml:space="preserve">, G. S., Temmink, R. J. M., D’Angelo, M., van Dalen, J., Lengkeek, W., </w:t>
      </w:r>
      <w:proofErr w:type="spellStart"/>
      <w:r w:rsidRPr="004C17BC">
        <w:rPr>
          <w:rFonts w:ascii="Calibri" w:hAnsi="Calibri" w:cs="Calibri"/>
        </w:rPr>
        <w:t>Didderen</w:t>
      </w:r>
      <w:proofErr w:type="spellEnd"/>
      <w:r w:rsidRPr="004C17BC">
        <w:rPr>
          <w:rFonts w:ascii="Calibri" w:hAnsi="Calibri" w:cs="Calibri"/>
        </w:rPr>
        <w:t xml:space="preserve">, K., Ballio, F., van der Heide, T., &amp; Bouma, T. J. (2021). Restoration of </w:t>
      </w:r>
      <w:proofErr w:type="spellStart"/>
      <w:r w:rsidRPr="004C17BC">
        <w:rPr>
          <w:rFonts w:ascii="Calibri" w:hAnsi="Calibri" w:cs="Calibri"/>
        </w:rPr>
        <w:t>biogeomorphic</w:t>
      </w:r>
      <w:proofErr w:type="spellEnd"/>
      <w:r w:rsidRPr="004C17BC">
        <w:rPr>
          <w:rFonts w:ascii="Calibri" w:hAnsi="Calibri" w:cs="Calibri"/>
        </w:rPr>
        <w:t xml:space="preserve"> systems by creating windows of opportunity to support natural establishment processes. </w:t>
      </w:r>
      <w:r w:rsidRPr="004C17BC">
        <w:rPr>
          <w:rFonts w:ascii="Calibri" w:hAnsi="Calibri" w:cs="Calibri"/>
          <w:i/>
          <w:iCs/>
        </w:rPr>
        <w:t>Ecological Applications</w:t>
      </w:r>
      <w:r w:rsidRPr="004C17BC">
        <w:rPr>
          <w:rFonts w:ascii="Calibri" w:hAnsi="Calibri" w:cs="Calibri"/>
        </w:rPr>
        <w:t xml:space="preserve">, </w:t>
      </w:r>
      <w:r w:rsidRPr="004C17BC">
        <w:rPr>
          <w:rFonts w:ascii="Calibri" w:hAnsi="Calibri" w:cs="Calibri"/>
          <w:i/>
          <w:iCs/>
        </w:rPr>
        <w:t>31</w:t>
      </w:r>
      <w:r w:rsidRPr="004C17BC">
        <w:rPr>
          <w:rFonts w:ascii="Calibri" w:hAnsi="Calibri" w:cs="Calibri"/>
        </w:rPr>
        <w:t>(5), e02333. https://doi.org/10.1002/eap.2333</w:t>
      </w:r>
    </w:p>
    <w:p w14:paraId="54B484A6"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Hitchcock, C. L., &amp; Cronquist, A. (2018). </w:t>
      </w:r>
      <w:r w:rsidRPr="004C17BC">
        <w:rPr>
          <w:rFonts w:ascii="Calibri" w:hAnsi="Calibri" w:cs="Calibri"/>
          <w:i/>
          <w:iCs/>
        </w:rPr>
        <w:t>Flora of the Pacific Northwest, an illustrated manual</w:t>
      </w:r>
      <w:r w:rsidRPr="004C17BC">
        <w:rPr>
          <w:rFonts w:ascii="Calibri" w:hAnsi="Calibri" w:cs="Calibri"/>
        </w:rPr>
        <w:t xml:space="preserve"> (D. E. Giblin, B. S. Legler, P. F. Zika, &amp; R. G. Olmstead, Eds.; 2nd ed.). University of Washington Press.</w:t>
      </w:r>
    </w:p>
    <w:p w14:paraId="2C51A4B4"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Hu, Z., van </w:t>
      </w:r>
      <w:proofErr w:type="spellStart"/>
      <w:r w:rsidRPr="004C17BC">
        <w:rPr>
          <w:rFonts w:ascii="Calibri" w:hAnsi="Calibri" w:cs="Calibri"/>
        </w:rPr>
        <w:t>Belzen</w:t>
      </w:r>
      <w:proofErr w:type="spellEnd"/>
      <w:r w:rsidRPr="004C17BC">
        <w:rPr>
          <w:rFonts w:ascii="Calibri" w:hAnsi="Calibri" w:cs="Calibri"/>
        </w:rPr>
        <w:t xml:space="preserve">, J., van der Wal, D., Balke, T., Wang, Z. B., Stive, M., &amp; Bouma, T. J. (2015). Windows of opportunity for salt marsh vegetation establishment on bare tidal flats: The importance of temporal and spatial variability in hydrodynamic forcing. </w:t>
      </w:r>
      <w:r w:rsidRPr="004C17BC">
        <w:rPr>
          <w:rFonts w:ascii="Calibri" w:hAnsi="Calibri" w:cs="Calibri"/>
          <w:i/>
          <w:iCs/>
        </w:rPr>
        <w:t xml:space="preserve">Journal of Geophysical Research: </w:t>
      </w:r>
      <w:proofErr w:type="spellStart"/>
      <w:r w:rsidRPr="004C17BC">
        <w:rPr>
          <w:rFonts w:ascii="Calibri" w:hAnsi="Calibri" w:cs="Calibri"/>
          <w:i/>
          <w:iCs/>
        </w:rPr>
        <w:t>Biogeosciences</w:t>
      </w:r>
      <w:proofErr w:type="spellEnd"/>
      <w:r w:rsidRPr="004C17BC">
        <w:rPr>
          <w:rFonts w:ascii="Calibri" w:hAnsi="Calibri" w:cs="Calibri"/>
        </w:rPr>
        <w:t xml:space="preserve">, </w:t>
      </w:r>
      <w:r w:rsidRPr="004C17BC">
        <w:rPr>
          <w:rFonts w:ascii="Calibri" w:hAnsi="Calibri" w:cs="Calibri"/>
          <w:i/>
          <w:iCs/>
        </w:rPr>
        <w:t>120</w:t>
      </w:r>
      <w:r w:rsidRPr="004C17BC">
        <w:rPr>
          <w:rFonts w:ascii="Calibri" w:hAnsi="Calibri" w:cs="Calibri"/>
        </w:rPr>
        <w:t>(7), 1450–1469. https://doi.org/10.1002/2014JG002870</w:t>
      </w:r>
    </w:p>
    <w:p w14:paraId="53286368"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Janousek, C. N., &amp; Folger, C. L. (2013). Inter-specific variation in salinity </w:t>
      </w:r>
      <w:proofErr w:type="gramStart"/>
      <w:r w:rsidRPr="004C17BC">
        <w:rPr>
          <w:rFonts w:ascii="Calibri" w:hAnsi="Calibri" w:cs="Calibri"/>
        </w:rPr>
        <w:t>effects on</w:t>
      </w:r>
      <w:proofErr w:type="gramEnd"/>
      <w:r w:rsidRPr="004C17BC">
        <w:rPr>
          <w:rFonts w:ascii="Calibri" w:hAnsi="Calibri" w:cs="Calibri"/>
        </w:rPr>
        <w:t xml:space="preserve"> germination in Pacific Northwest tidal wetland plants. </w:t>
      </w:r>
      <w:r w:rsidRPr="004C17BC">
        <w:rPr>
          <w:rFonts w:ascii="Calibri" w:hAnsi="Calibri" w:cs="Calibri"/>
          <w:i/>
          <w:iCs/>
        </w:rPr>
        <w:t>Aquatic Botany</w:t>
      </w:r>
      <w:r w:rsidRPr="004C17BC">
        <w:rPr>
          <w:rFonts w:ascii="Calibri" w:hAnsi="Calibri" w:cs="Calibri"/>
        </w:rPr>
        <w:t xml:space="preserve">, </w:t>
      </w:r>
      <w:r w:rsidRPr="004C17BC">
        <w:rPr>
          <w:rFonts w:ascii="Calibri" w:hAnsi="Calibri" w:cs="Calibri"/>
          <w:i/>
          <w:iCs/>
        </w:rPr>
        <w:t>111</w:t>
      </w:r>
      <w:r w:rsidRPr="004C17BC">
        <w:rPr>
          <w:rFonts w:ascii="Calibri" w:hAnsi="Calibri" w:cs="Calibri"/>
        </w:rPr>
        <w:t>, 104–111. https://doi.org/10.1016/j.aquabot.2013.06.009</w:t>
      </w:r>
    </w:p>
    <w:p w14:paraId="4F7A7AB3"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Johnstone, J. F., Allen, C. D., Franklin, J. F., Frelich, L. E., Harvey, B. J., Higuera, P. E., Mack, M. C., </w:t>
      </w:r>
      <w:proofErr w:type="spellStart"/>
      <w:r w:rsidRPr="004C17BC">
        <w:rPr>
          <w:rFonts w:ascii="Calibri" w:hAnsi="Calibri" w:cs="Calibri"/>
        </w:rPr>
        <w:t>Meentemeyer</w:t>
      </w:r>
      <w:proofErr w:type="spellEnd"/>
      <w:r w:rsidRPr="004C17BC">
        <w:rPr>
          <w:rFonts w:ascii="Calibri" w:hAnsi="Calibri" w:cs="Calibri"/>
        </w:rPr>
        <w:t xml:space="preserve">, R. K., Metz, M. R., Perry, G. L., </w:t>
      </w:r>
      <w:proofErr w:type="spellStart"/>
      <w:r w:rsidRPr="004C17BC">
        <w:rPr>
          <w:rFonts w:ascii="Calibri" w:hAnsi="Calibri" w:cs="Calibri"/>
        </w:rPr>
        <w:t>Schoennagel</w:t>
      </w:r>
      <w:proofErr w:type="spellEnd"/>
      <w:r w:rsidRPr="004C17BC">
        <w:rPr>
          <w:rFonts w:ascii="Calibri" w:hAnsi="Calibri" w:cs="Calibri"/>
        </w:rPr>
        <w:t xml:space="preserve">, T., &amp; Turner, M. G. (2016). Changing disturbance regimes, ecological memory, and forest resilience. </w:t>
      </w:r>
      <w:r w:rsidRPr="004C17BC">
        <w:rPr>
          <w:rFonts w:ascii="Calibri" w:hAnsi="Calibri" w:cs="Calibri"/>
          <w:i/>
          <w:iCs/>
        </w:rPr>
        <w:t>Frontiers in Ecology and the Environment</w:t>
      </w:r>
      <w:r w:rsidRPr="004C17BC">
        <w:rPr>
          <w:rFonts w:ascii="Calibri" w:hAnsi="Calibri" w:cs="Calibri"/>
        </w:rPr>
        <w:t xml:space="preserve">, </w:t>
      </w:r>
      <w:r w:rsidRPr="004C17BC">
        <w:rPr>
          <w:rFonts w:ascii="Calibri" w:hAnsi="Calibri" w:cs="Calibri"/>
          <w:i/>
          <w:iCs/>
        </w:rPr>
        <w:t>14</w:t>
      </w:r>
      <w:r w:rsidRPr="004C17BC">
        <w:rPr>
          <w:rFonts w:ascii="Calibri" w:hAnsi="Calibri" w:cs="Calibri"/>
        </w:rPr>
        <w:t>(7), 369–378. https://doi.org/10.1002/fee.1311</w:t>
      </w:r>
    </w:p>
    <w:p w14:paraId="28C210C7"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Kettenring, K. M., &amp; </w:t>
      </w:r>
      <w:proofErr w:type="spellStart"/>
      <w:r w:rsidRPr="004C17BC">
        <w:rPr>
          <w:rFonts w:ascii="Calibri" w:hAnsi="Calibri" w:cs="Calibri"/>
        </w:rPr>
        <w:t>Galatowitsch</w:t>
      </w:r>
      <w:proofErr w:type="spellEnd"/>
      <w:r w:rsidRPr="004C17BC">
        <w:rPr>
          <w:rFonts w:ascii="Calibri" w:hAnsi="Calibri" w:cs="Calibri"/>
        </w:rPr>
        <w:t xml:space="preserve">, S. M. (2011). Seed Rain of Restored and Natural Prairie Wetlands. </w:t>
      </w:r>
      <w:r w:rsidRPr="004C17BC">
        <w:rPr>
          <w:rFonts w:ascii="Calibri" w:hAnsi="Calibri" w:cs="Calibri"/>
          <w:i/>
          <w:iCs/>
        </w:rPr>
        <w:t>Wetlands</w:t>
      </w:r>
      <w:r w:rsidRPr="004C17BC">
        <w:rPr>
          <w:rFonts w:ascii="Calibri" w:hAnsi="Calibri" w:cs="Calibri"/>
        </w:rPr>
        <w:t xml:space="preserve">, </w:t>
      </w:r>
      <w:r w:rsidRPr="004C17BC">
        <w:rPr>
          <w:rFonts w:ascii="Calibri" w:hAnsi="Calibri" w:cs="Calibri"/>
          <w:i/>
          <w:iCs/>
        </w:rPr>
        <w:t>31</w:t>
      </w:r>
      <w:r w:rsidRPr="004C17BC">
        <w:rPr>
          <w:rFonts w:ascii="Calibri" w:hAnsi="Calibri" w:cs="Calibri"/>
        </w:rPr>
        <w:t>(2), 283–294. https://doi.org/10.1007/s13157-011-0159-6</w:t>
      </w:r>
    </w:p>
    <w:p w14:paraId="380A5D6A" w14:textId="77777777" w:rsidR="00CE27E3" w:rsidRPr="004C17BC" w:rsidRDefault="00CE27E3" w:rsidP="00CE27E3">
      <w:pPr>
        <w:pStyle w:val="Bibliography"/>
        <w:ind w:left="720" w:hanging="720"/>
        <w:rPr>
          <w:rFonts w:ascii="Calibri" w:hAnsi="Calibri" w:cs="Calibri"/>
        </w:rPr>
      </w:pPr>
      <w:proofErr w:type="spellStart"/>
      <w:r w:rsidRPr="004C17BC">
        <w:rPr>
          <w:rFonts w:ascii="Calibri" w:hAnsi="Calibri" w:cs="Calibri"/>
        </w:rPr>
        <w:t>Koutstaal</w:t>
      </w:r>
      <w:proofErr w:type="spellEnd"/>
      <w:r w:rsidRPr="004C17BC">
        <w:rPr>
          <w:rFonts w:ascii="Calibri" w:hAnsi="Calibri" w:cs="Calibri"/>
        </w:rPr>
        <w:t xml:space="preserve">, B. P., </w:t>
      </w:r>
      <w:proofErr w:type="spellStart"/>
      <w:r w:rsidRPr="004C17BC">
        <w:rPr>
          <w:rFonts w:ascii="Calibri" w:hAnsi="Calibri" w:cs="Calibri"/>
        </w:rPr>
        <w:t>Markusse</w:t>
      </w:r>
      <w:proofErr w:type="spellEnd"/>
      <w:r w:rsidRPr="004C17BC">
        <w:rPr>
          <w:rFonts w:ascii="Calibri" w:hAnsi="Calibri" w:cs="Calibri"/>
        </w:rPr>
        <w:t xml:space="preserve">, M. M., &amp; de Munck, W. (1987). Aspects of seed dispersal by tidal movements. In A. H. L. </w:t>
      </w:r>
      <w:proofErr w:type="spellStart"/>
      <w:r w:rsidRPr="004C17BC">
        <w:rPr>
          <w:rFonts w:ascii="Calibri" w:hAnsi="Calibri" w:cs="Calibri"/>
        </w:rPr>
        <w:t>Huiskes</w:t>
      </w:r>
      <w:proofErr w:type="spellEnd"/>
      <w:r w:rsidRPr="004C17BC">
        <w:rPr>
          <w:rFonts w:ascii="Calibri" w:hAnsi="Calibri" w:cs="Calibri"/>
        </w:rPr>
        <w:t xml:space="preserve">, C. W. P. M. </w:t>
      </w:r>
      <w:proofErr w:type="spellStart"/>
      <w:r w:rsidRPr="004C17BC">
        <w:rPr>
          <w:rFonts w:ascii="Calibri" w:hAnsi="Calibri" w:cs="Calibri"/>
        </w:rPr>
        <w:t>Blom</w:t>
      </w:r>
      <w:proofErr w:type="spellEnd"/>
      <w:r w:rsidRPr="004C17BC">
        <w:rPr>
          <w:rFonts w:ascii="Calibri" w:hAnsi="Calibri" w:cs="Calibri"/>
        </w:rPr>
        <w:t xml:space="preserve">, &amp; J. Rozema (Eds.), </w:t>
      </w:r>
      <w:r w:rsidRPr="004C17BC">
        <w:rPr>
          <w:rFonts w:ascii="Calibri" w:hAnsi="Calibri" w:cs="Calibri"/>
          <w:i/>
          <w:iCs/>
        </w:rPr>
        <w:t>Vegetation between land and sea: Structure and processes</w:t>
      </w:r>
      <w:r w:rsidRPr="004C17BC">
        <w:rPr>
          <w:rFonts w:ascii="Calibri" w:hAnsi="Calibri" w:cs="Calibri"/>
        </w:rPr>
        <w:t xml:space="preserve"> (pp. 226–235). Springer Netherlands. https://doi.org/10.1007/978-94-009-4065-9_18</w:t>
      </w:r>
    </w:p>
    <w:p w14:paraId="00AE6B0D"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Lane, S. L. (2022). Using marsh organs to test seed recruitment in tidal freshwater marshes. </w:t>
      </w:r>
      <w:r w:rsidRPr="004C17BC">
        <w:rPr>
          <w:rFonts w:ascii="Calibri" w:hAnsi="Calibri" w:cs="Calibri"/>
          <w:i/>
          <w:iCs/>
        </w:rPr>
        <w:t>Applications in Plant Sciences</w:t>
      </w:r>
      <w:r w:rsidRPr="004C17BC">
        <w:rPr>
          <w:rFonts w:ascii="Calibri" w:hAnsi="Calibri" w:cs="Calibri"/>
        </w:rPr>
        <w:t xml:space="preserve">, </w:t>
      </w:r>
      <w:r w:rsidRPr="004C17BC">
        <w:rPr>
          <w:rFonts w:ascii="Calibri" w:hAnsi="Calibri" w:cs="Calibri"/>
          <w:i/>
          <w:iCs/>
        </w:rPr>
        <w:t>n/a</w:t>
      </w:r>
      <w:r w:rsidRPr="004C17BC">
        <w:rPr>
          <w:rFonts w:ascii="Calibri" w:hAnsi="Calibri" w:cs="Calibri"/>
        </w:rPr>
        <w:t>, e11474. https://doi.org/10.1002/aps3.11474</w:t>
      </w:r>
    </w:p>
    <w:p w14:paraId="3E4D8666" w14:textId="77777777" w:rsidR="00CE27E3" w:rsidRDefault="00CE27E3" w:rsidP="00CE27E3">
      <w:pPr>
        <w:pStyle w:val="Bibliography"/>
        <w:ind w:left="720" w:hanging="720"/>
        <w:rPr>
          <w:rFonts w:ascii="Calibri" w:hAnsi="Calibri" w:cs="Calibri"/>
        </w:rPr>
      </w:pPr>
      <w:proofErr w:type="spellStart"/>
      <w:r w:rsidRPr="004C17BC">
        <w:rPr>
          <w:rFonts w:ascii="Calibri" w:hAnsi="Calibri" w:cs="Calibri"/>
        </w:rPr>
        <w:t>Lavorel</w:t>
      </w:r>
      <w:proofErr w:type="spellEnd"/>
      <w:r w:rsidRPr="004C17BC">
        <w:rPr>
          <w:rFonts w:ascii="Calibri" w:hAnsi="Calibri" w:cs="Calibri"/>
        </w:rPr>
        <w:t xml:space="preserve">, S., &amp; </w:t>
      </w:r>
      <w:proofErr w:type="spellStart"/>
      <w:r w:rsidRPr="004C17BC">
        <w:rPr>
          <w:rFonts w:ascii="Calibri" w:hAnsi="Calibri" w:cs="Calibri"/>
        </w:rPr>
        <w:t>Lebreton</w:t>
      </w:r>
      <w:proofErr w:type="spellEnd"/>
      <w:r w:rsidRPr="004C17BC">
        <w:rPr>
          <w:rFonts w:ascii="Calibri" w:hAnsi="Calibri" w:cs="Calibri"/>
        </w:rPr>
        <w:t xml:space="preserve">, J. D. (1992). Evidence for lottery recruitment in Mediterranean old fields. </w:t>
      </w:r>
      <w:r w:rsidRPr="004C17BC">
        <w:rPr>
          <w:rFonts w:ascii="Calibri" w:hAnsi="Calibri" w:cs="Calibri"/>
          <w:i/>
          <w:iCs/>
        </w:rPr>
        <w:t>Journal of Vegetation Science</w:t>
      </w:r>
      <w:r w:rsidRPr="004C17BC">
        <w:rPr>
          <w:rFonts w:ascii="Calibri" w:hAnsi="Calibri" w:cs="Calibri"/>
        </w:rPr>
        <w:t xml:space="preserve">, </w:t>
      </w:r>
      <w:r w:rsidRPr="004C17BC">
        <w:rPr>
          <w:rFonts w:ascii="Calibri" w:hAnsi="Calibri" w:cs="Calibri"/>
          <w:i/>
          <w:iCs/>
        </w:rPr>
        <w:t>3</w:t>
      </w:r>
      <w:r w:rsidRPr="004C17BC">
        <w:rPr>
          <w:rFonts w:ascii="Calibri" w:hAnsi="Calibri" w:cs="Calibri"/>
        </w:rPr>
        <w:t>(1), 91–100. https://doi.org/10.2307/3236002</w:t>
      </w:r>
    </w:p>
    <w:p w14:paraId="1E13EE5C" w14:textId="19EB58F1" w:rsidR="00AA6383" w:rsidRPr="00AA6383" w:rsidRDefault="00AA6383" w:rsidP="00AA6383">
      <w:pPr>
        <w:pStyle w:val="Bibliography"/>
        <w:ind w:left="720" w:hanging="720"/>
        <w:rPr>
          <w:rFonts w:ascii="Calibri" w:hAnsi="Calibri" w:cs="Calibri"/>
        </w:rPr>
      </w:pPr>
      <w:r w:rsidRPr="0038350A">
        <w:rPr>
          <w:rFonts w:ascii="Calibri" w:hAnsi="Calibri" w:cs="Calibri"/>
        </w:rPr>
        <w:t xml:space="preserve">Lotze, H. (2010). Historical Reconstruction of Human-Induced Changes in U.S. Estuaries. In R. Gibson, R. Atkinson, &amp; J. Gordon (Eds.), </w:t>
      </w:r>
      <w:r w:rsidRPr="00AA6383">
        <w:rPr>
          <w:rFonts w:ascii="Calibri" w:hAnsi="Calibri" w:cs="Calibri"/>
        </w:rPr>
        <w:t>Oceanography and Marine Biology</w:t>
      </w:r>
      <w:r w:rsidRPr="0038350A">
        <w:rPr>
          <w:rFonts w:ascii="Calibri" w:hAnsi="Calibri" w:cs="Calibri"/>
        </w:rPr>
        <w:t xml:space="preserve"> (Vol. 20103650, pp. 267–338). CRC Press. https://doi.org/10.1201/EBK1439821169-c5</w:t>
      </w:r>
    </w:p>
    <w:p w14:paraId="3F29C522"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Mack, R. N., </w:t>
      </w:r>
      <w:proofErr w:type="spellStart"/>
      <w:r w:rsidRPr="004C17BC">
        <w:rPr>
          <w:rFonts w:ascii="Calibri" w:hAnsi="Calibri" w:cs="Calibri"/>
        </w:rPr>
        <w:t>Simberloff</w:t>
      </w:r>
      <w:proofErr w:type="spellEnd"/>
      <w:r w:rsidRPr="004C17BC">
        <w:rPr>
          <w:rFonts w:ascii="Calibri" w:hAnsi="Calibri" w:cs="Calibri"/>
        </w:rPr>
        <w:t xml:space="preserve">, D., Mark Lonsdale, W., Evans, H., Clout, M., &amp; Bazzaz, F. A. (2000). Biotic Invasions: Causes, Epidemiology, Global Consequences, and Control. </w:t>
      </w:r>
      <w:r w:rsidRPr="004C17BC">
        <w:rPr>
          <w:rFonts w:ascii="Calibri" w:hAnsi="Calibri" w:cs="Calibri"/>
          <w:i/>
          <w:iCs/>
        </w:rPr>
        <w:t>Ecological Applications</w:t>
      </w:r>
      <w:r w:rsidRPr="004C17BC">
        <w:rPr>
          <w:rFonts w:ascii="Calibri" w:hAnsi="Calibri" w:cs="Calibri"/>
        </w:rPr>
        <w:t xml:space="preserve">, </w:t>
      </w:r>
      <w:r w:rsidRPr="004C17BC">
        <w:rPr>
          <w:rFonts w:ascii="Calibri" w:hAnsi="Calibri" w:cs="Calibri"/>
          <w:i/>
          <w:iCs/>
        </w:rPr>
        <w:t>10</w:t>
      </w:r>
      <w:r w:rsidRPr="004C17BC">
        <w:rPr>
          <w:rFonts w:ascii="Calibri" w:hAnsi="Calibri" w:cs="Calibri"/>
        </w:rPr>
        <w:t>(3), 689–710. https://doi.org/10.1890/1051-0761(2000)010[</w:t>
      </w:r>
      <w:proofErr w:type="gramStart"/>
      <w:r w:rsidRPr="004C17BC">
        <w:rPr>
          <w:rFonts w:ascii="Calibri" w:hAnsi="Calibri" w:cs="Calibri"/>
        </w:rPr>
        <w:t>0689:BICEGC</w:t>
      </w:r>
      <w:proofErr w:type="gramEnd"/>
      <w:r w:rsidRPr="004C17BC">
        <w:rPr>
          <w:rFonts w:ascii="Calibri" w:hAnsi="Calibri" w:cs="Calibri"/>
        </w:rPr>
        <w:t>]2.0.CO;2</w:t>
      </w:r>
    </w:p>
    <w:p w14:paraId="407C72A2"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Meli, P., Holl, K. D., Benayas, J. M. R., Jones, H. P., Jones, P. C., Montoya, D., &amp; Mateos, D. M. (2017). A global review of past land use, climate, and active vs. Passive restoration effects on forest recovery. </w:t>
      </w:r>
      <w:r w:rsidRPr="004C17BC">
        <w:rPr>
          <w:rFonts w:ascii="Calibri" w:hAnsi="Calibri" w:cs="Calibri"/>
          <w:i/>
          <w:iCs/>
        </w:rPr>
        <w:t>PLOS ONE</w:t>
      </w:r>
      <w:r w:rsidRPr="004C17BC">
        <w:rPr>
          <w:rFonts w:ascii="Calibri" w:hAnsi="Calibri" w:cs="Calibri"/>
        </w:rPr>
        <w:t xml:space="preserve">, </w:t>
      </w:r>
      <w:r w:rsidRPr="004C17BC">
        <w:rPr>
          <w:rFonts w:ascii="Calibri" w:hAnsi="Calibri" w:cs="Calibri"/>
          <w:i/>
          <w:iCs/>
        </w:rPr>
        <w:t>12</w:t>
      </w:r>
      <w:r w:rsidRPr="004C17BC">
        <w:rPr>
          <w:rFonts w:ascii="Calibri" w:hAnsi="Calibri" w:cs="Calibri"/>
        </w:rPr>
        <w:t>(2), e0171368. https://doi.org/10.1371/journal.pone.0171368</w:t>
      </w:r>
    </w:p>
    <w:p w14:paraId="01467D0F" w14:textId="77777777" w:rsidR="00CE27E3" w:rsidRPr="004C17BC" w:rsidRDefault="00CE27E3" w:rsidP="00CE27E3">
      <w:pPr>
        <w:pStyle w:val="Bibliography"/>
        <w:ind w:left="720" w:hanging="720"/>
        <w:rPr>
          <w:rFonts w:ascii="Calibri" w:hAnsi="Calibri" w:cs="Calibri"/>
        </w:rPr>
      </w:pPr>
      <w:proofErr w:type="spellStart"/>
      <w:r w:rsidRPr="004C17BC">
        <w:rPr>
          <w:rFonts w:ascii="Calibri" w:hAnsi="Calibri" w:cs="Calibri"/>
        </w:rPr>
        <w:t>Morzaria</w:t>
      </w:r>
      <w:proofErr w:type="spellEnd"/>
      <w:r w:rsidRPr="004C17BC">
        <w:rPr>
          <w:rFonts w:ascii="Calibri" w:hAnsi="Calibri" w:cs="Calibri"/>
        </w:rPr>
        <w:t xml:space="preserve">-Luna, H. N., &amp; Zedler, J. B. (2007). Does seed availability limit plant establishment during salt marsh restoration? </w:t>
      </w:r>
      <w:r w:rsidRPr="004C17BC">
        <w:rPr>
          <w:rFonts w:ascii="Calibri" w:hAnsi="Calibri" w:cs="Calibri"/>
          <w:i/>
          <w:iCs/>
        </w:rPr>
        <w:t>Estuaries and Coasts</w:t>
      </w:r>
      <w:r w:rsidRPr="004C17BC">
        <w:rPr>
          <w:rFonts w:ascii="Calibri" w:hAnsi="Calibri" w:cs="Calibri"/>
        </w:rPr>
        <w:t xml:space="preserve">, </w:t>
      </w:r>
      <w:r w:rsidRPr="004C17BC">
        <w:rPr>
          <w:rFonts w:ascii="Calibri" w:hAnsi="Calibri" w:cs="Calibri"/>
          <w:i/>
          <w:iCs/>
        </w:rPr>
        <w:t>30</w:t>
      </w:r>
      <w:r w:rsidRPr="004C17BC">
        <w:rPr>
          <w:rFonts w:ascii="Calibri" w:hAnsi="Calibri" w:cs="Calibri"/>
        </w:rPr>
        <w:t>(1), 12–25. https://doi.org/10.1007/BF02782963</w:t>
      </w:r>
    </w:p>
    <w:p w14:paraId="08385183"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Pasternack, G. B. (2009). Chapter 3. Hydrogeomorphology and sedimentation in tidal freshwater wetlands. In A. Barendregt, D. F. Whigham, &amp; A. H. Baldwin (Eds.), </w:t>
      </w:r>
      <w:r w:rsidRPr="004C17BC">
        <w:rPr>
          <w:rFonts w:ascii="Calibri" w:hAnsi="Calibri" w:cs="Calibri"/>
          <w:i/>
          <w:iCs/>
        </w:rPr>
        <w:t>Tidal Freshwater Wetlands</w:t>
      </w:r>
      <w:r w:rsidRPr="004C17BC">
        <w:rPr>
          <w:rFonts w:ascii="Calibri" w:hAnsi="Calibri" w:cs="Calibri"/>
        </w:rPr>
        <w:t xml:space="preserve"> (pp. 31–40). Backhuys Publishers.</w:t>
      </w:r>
    </w:p>
    <w:p w14:paraId="739BD6BE"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Price, E. P. F., </w:t>
      </w:r>
      <w:proofErr w:type="spellStart"/>
      <w:r w:rsidRPr="004C17BC">
        <w:rPr>
          <w:rFonts w:ascii="Calibri" w:hAnsi="Calibri" w:cs="Calibri"/>
        </w:rPr>
        <w:t>Spyreas</w:t>
      </w:r>
      <w:proofErr w:type="spellEnd"/>
      <w:r w:rsidRPr="004C17BC">
        <w:rPr>
          <w:rFonts w:ascii="Calibri" w:hAnsi="Calibri" w:cs="Calibri"/>
        </w:rPr>
        <w:t xml:space="preserve">, G., &amp; Matthews, J. W. (2020). Biotic homogenization of wetland vegetation in the conterminous United States driven by Phalaris arundinacea and anthropogenic disturbance. </w:t>
      </w:r>
      <w:r w:rsidRPr="004C17BC">
        <w:rPr>
          <w:rFonts w:ascii="Calibri" w:hAnsi="Calibri" w:cs="Calibri"/>
          <w:i/>
          <w:iCs/>
        </w:rPr>
        <w:t>Landscape Ecology</w:t>
      </w:r>
      <w:r w:rsidRPr="004C17BC">
        <w:rPr>
          <w:rFonts w:ascii="Calibri" w:hAnsi="Calibri" w:cs="Calibri"/>
        </w:rPr>
        <w:t xml:space="preserve">, </w:t>
      </w:r>
      <w:r w:rsidRPr="004C17BC">
        <w:rPr>
          <w:rFonts w:ascii="Calibri" w:hAnsi="Calibri" w:cs="Calibri"/>
          <w:i/>
          <w:iCs/>
        </w:rPr>
        <w:t>35</w:t>
      </w:r>
      <w:r w:rsidRPr="004C17BC">
        <w:rPr>
          <w:rFonts w:ascii="Calibri" w:hAnsi="Calibri" w:cs="Calibri"/>
        </w:rPr>
        <w:t>(3), 779–792. https://doi.org/10.1007/s10980-020-00978-x</w:t>
      </w:r>
    </w:p>
    <w:p w14:paraId="3C8A3FA8" w14:textId="77777777" w:rsidR="00CE27E3" w:rsidRDefault="00CE27E3" w:rsidP="00CE27E3">
      <w:pPr>
        <w:pStyle w:val="Bibliography"/>
        <w:ind w:left="720" w:hanging="720"/>
        <w:rPr>
          <w:rFonts w:ascii="Calibri" w:hAnsi="Calibri" w:cs="Calibri"/>
        </w:rPr>
      </w:pPr>
      <w:r w:rsidRPr="004C17BC">
        <w:rPr>
          <w:rFonts w:ascii="Calibri" w:hAnsi="Calibri" w:cs="Calibri"/>
        </w:rPr>
        <w:t xml:space="preserve">Prowse, T. A. A., O’Connor, P. J., Collard, S. J., &amp; Rogers, D. J. (2019). Eating away at protected areas: Total grazing pressure is undermining public land conservation. </w:t>
      </w:r>
      <w:r w:rsidRPr="004C17BC">
        <w:rPr>
          <w:rFonts w:ascii="Calibri" w:hAnsi="Calibri" w:cs="Calibri"/>
          <w:i/>
          <w:iCs/>
        </w:rPr>
        <w:t>Global Ecology and Conservation</w:t>
      </w:r>
      <w:r w:rsidRPr="004C17BC">
        <w:rPr>
          <w:rFonts w:ascii="Calibri" w:hAnsi="Calibri" w:cs="Calibri"/>
        </w:rPr>
        <w:t xml:space="preserve">, </w:t>
      </w:r>
      <w:r w:rsidRPr="004C17BC">
        <w:rPr>
          <w:rFonts w:ascii="Calibri" w:hAnsi="Calibri" w:cs="Calibri"/>
          <w:i/>
          <w:iCs/>
        </w:rPr>
        <w:t>20</w:t>
      </w:r>
      <w:r w:rsidRPr="004C17BC">
        <w:rPr>
          <w:rFonts w:ascii="Calibri" w:hAnsi="Calibri" w:cs="Calibri"/>
        </w:rPr>
        <w:t>, e00754. https://doi.org/10.1016/j.gecco.2019.e00754</w:t>
      </w:r>
    </w:p>
    <w:p w14:paraId="7463F3CD" w14:textId="0C9171EC" w:rsidR="0075075A" w:rsidRPr="0075075A" w:rsidRDefault="0075075A" w:rsidP="0075075A">
      <w:pPr>
        <w:pStyle w:val="Bibliography"/>
        <w:ind w:left="720" w:hanging="720"/>
        <w:rPr>
          <w:rFonts w:ascii="Calibri" w:hAnsi="Calibri" w:cs="Calibri"/>
        </w:rPr>
      </w:pPr>
      <w:r w:rsidRPr="0075075A">
        <w:rPr>
          <w:rFonts w:ascii="Calibri" w:hAnsi="Calibri" w:cs="Calibri"/>
        </w:rPr>
        <w:t>Ricklefs, R. E. (2008). Disintegration of the Ecological Community. The American Naturalist, 172(6), 741–750. https://doi.org/10.1086/593002</w:t>
      </w:r>
    </w:p>
    <w:p w14:paraId="1EB8DF3C" w14:textId="77777777" w:rsidR="00CE27E3" w:rsidRPr="004C17BC" w:rsidRDefault="00CE27E3" w:rsidP="00CE27E3">
      <w:pPr>
        <w:pStyle w:val="Bibliography"/>
        <w:ind w:left="720" w:hanging="720"/>
        <w:rPr>
          <w:rFonts w:ascii="Calibri" w:hAnsi="Calibri" w:cs="Calibri"/>
        </w:rPr>
      </w:pPr>
      <w:proofErr w:type="spellStart"/>
      <w:r w:rsidRPr="004C17BC">
        <w:rPr>
          <w:rFonts w:ascii="Calibri" w:hAnsi="Calibri" w:cs="Calibri"/>
        </w:rPr>
        <w:t>Rosbakh</w:t>
      </w:r>
      <w:proofErr w:type="spellEnd"/>
      <w:r w:rsidRPr="004C17BC">
        <w:rPr>
          <w:rFonts w:ascii="Calibri" w:hAnsi="Calibri" w:cs="Calibri"/>
        </w:rPr>
        <w:t xml:space="preserve">, S., </w:t>
      </w:r>
      <w:proofErr w:type="spellStart"/>
      <w:r w:rsidRPr="004C17BC">
        <w:rPr>
          <w:rFonts w:ascii="Calibri" w:hAnsi="Calibri" w:cs="Calibri"/>
        </w:rPr>
        <w:t>Hülsmann</w:t>
      </w:r>
      <w:proofErr w:type="spellEnd"/>
      <w:r w:rsidRPr="004C17BC">
        <w:rPr>
          <w:rFonts w:ascii="Calibri" w:hAnsi="Calibri" w:cs="Calibri"/>
        </w:rPr>
        <w:t xml:space="preserve">, L., Weinberger, I., Bleicher, M., &amp; </w:t>
      </w:r>
      <w:proofErr w:type="spellStart"/>
      <w:r w:rsidRPr="004C17BC">
        <w:rPr>
          <w:rFonts w:ascii="Calibri" w:hAnsi="Calibri" w:cs="Calibri"/>
        </w:rPr>
        <w:t>Poschlod</w:t>
      </w:r>
      <w:proofErr w:type="spellEnd"/>
      <w:r w:rsidRPr="004C17BC">
        <w:rPr>
          <w:rFonts w:ascii="Calibri" w:hAnsi="Calibri" w:cs="Calibri"/>
        </w:rPr>
        <w:t xml:space="preserve">, P. (2019). Bleaching and cold stratification can break dormancy and improve seed germination in Cyperaceae. </w:t>
      </w:r>
      <w:r w:rsidRPr="004C17BC">
        <w:rPr>
          <w:rFonts w:ascii="Calibri" w:hAnsi="Calibri" w:cs="Calibri"/>
          <w:i/>
          <w:iCs/>
        </w:rPr>
        <w:t>Aquatic Botany</w:t>
      </w:r>
      <w:r w:rsidRPr="004C17BC">
        <w:rPr>
          <w:rFonts w:ascii="Calibri" w:hAnsi="Calibri" w:cs="Calibri"/>
        </w:rPr>
        <w:t xml:space="preserve">, </w:t>
      </w:r>
      <w:r w:rsidRPr="004C17BC">
        <w:rPr>
          <w:rFonts w:ascii="Calibri" w:hAnsi="Calibri" w:cs="Calibri"/>
          <w:i/>
          <w:iCs/>
        </w:rPr>
        <w:t>158</w:t>
      </w:r>
      <w:r w:rsidRPr="004C17BC">
        <w:rPr>
          <w:rFonts w:ascii="Calibri" w:hAnsi="Calibri" w:cs="Calibri"/>
        </w:rPr>
        <w:t>, 103128. https://doi.org/10.1016/j.aquabot.2019.103128</w:t>
      </w:r>
    </w:p>
    <w:p w14:paraId="3558B40C" w14:textId="77777777" w:rsidR="00CE27E3" w:rsidRDefault="00CE27E3" w:rsidP="00CE27E3">
      <w:pPr>
        <w:pStyle w:val="Bibliography"/>
        <w:ind w:left="720" w:hanging="720"/>
        <w:rPr>
          <w:rFonts w:ascii="Calibri" w:hAnsi="Calibri" w:cs="Calibri"/>
        </w:rPr>
      </w:pPr>
      <w:r w:rsidRPr="004C17BC">
        <w:rPr>
          <w:rFonts w:ascii="Calibri" w:hAnsi="Calibri" w:cs="Calibri"/>
        </w:rPr>
        <w:t xml:space="preserve">Schaefer, V. H. (2011). Remembering our roots: A possible connection between loss of ecological memory, alien invasions and ecological restoration. </w:t>
      </w:r>
      <w:r w:rsidRPr="004C17BC">
        <w:rPr>
          <w:rFonts w:ascii="Calibri" w:hAnsi="Calibri" w:cs="Calibri"/>
          <w:i/>
          <w:iCs/>
        </w:rPr>
        <w:t>Urban Ecosystems</w:t>
      </w:r>
      <w:r w:rsidRPr="004C17BC">
        <w:rPr>
          <w:rFonts w:ascii="Calibri" w:hAnsi="Calibri" w:cs="Calibri"/>
        </w:rPr>
        <w:t xml:space="preserve">, </w:t>
      </w:r>
      <w:r w:rsidRPr="004C17BC">
        <w:rPr>
          <w:rFonts w:ascii="Calibri" w:hAnsi="Calibri" w:cs="Calibri"/>
          <w:i/>
          <w:iCs/>
        </w:rPr>
        <w:t>14</w:t>
      </w:r>
      <w:r w:rsidRPr="004C17BC">
        <w:rPr>
          <w:rFonts w:ascii="Calibri" w:hAnsi="Calibri" w:cs="Calibri"/>
        </w:rPr>
        <w:t>(1), 35–44. https://doi.org/10.1007/s11252-010-0138-3</w:t>
      </w:r>
    </w:p>
    <w:p w14:paraId="7D2ABDAE" w14:textId="52A3E524" w:rsidR="00DF3121" w:rsidRPr="00DF3121" w:rsidRDefault="00DF3121" w:rsidP="00DF3121">
      <w:pPr>
        <w:pStyle w:val="Bibliography"/>
        <w:ind w:left="720" w:hanging="720"/>
        <w:rPr>
          <w:rFonts w:ascii="Calibri" w:hAnsi="Calibri" w:cs="Calibri"/>
        </w:rPr>
      </w:pPr>
      <w:r w:rsidRPr="00DF3121">
        <w:rPr>
          <w:rFonts w:ascii="Calibri" w:hAnsi="Calibri" w:cs="Calibri"/>
        </w:rPr>
        <w:t>Scheffer, M., &amp; Carpenter, S. R. (2003). Catastrophic regime shifts in ecosystems: Linking theory to observation. Trends in Ecology &amp; Evolution, 18(12), 648–656. https://doi.org/10.1016/j.tree.2003.09.002</w:t>
      </w:r>
    </w:p>
    <w:p w14:paraId="2700137E"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Shackelford, N., Murray, S. M., Bennett, J. R., Lilley, P. L., Starzomski, B. M., &amp; Standish, R. J. (2019). Ten years of pulling: Ecosystem recovery after long-term weed management in Garry oak savanna. </w:t>
      </w:r>
      <w:r w:rsidRPr="004C17BC">
        <w:rPr>
          <w:rFonts w:ascii="Calibri" w:hAnsi="Calibri" w:cs="Calibri"/>
          <w:i/>
          <w:iCs/>
        </w:rPr>
        <w:t>Conservation Science and Practice</w:t>
      </w:r>
      <w:r w:rsidRPr="004C17BC">
        <w:rPr>
          <w:rFonts w:ascii="Calibri" w:hAnsi="Calibri" w:cs="Calibri"/>
        </w:rPr>
        <w:t xml:space="preserve">, </w:t>
      </w:r>
      <w:r w:rsidRPr="004C17BC">
        <w:rPr>
          <w:rFonts w:ascii="Calibri" w:hAnsi="Calibri" w:cs="Calibri"/>
          <w:i/>
          <w:iCs/>
        </w:rPr>
        <w:t>1</w:t>
      </w:r>
      <w:r w:rsidRPr="004C17BC">
        <w:rPr>
          <w:rFonts w:ascii="Calibri" w:hAnsi="Calibri" w:cs="Calibri"/>
        </w:rPr>
        <w:t>(10), e92. https://doi.org/10.1111/csp2.92</w:t>
      </w:r>
    </w:p>
    <w:p w14:paraId="48F8882A" w14:textId="77777777" w:rsidR="00CE27E3" w:rsidRPr="004C17BC" w:rsidRDefault="00CE27E3" w:rsidP="00CE27E3">
      <w:pPr>
        <w:pStyle w:val="Bibliography"/>
        <w:ind w:left="720" w:hanging="720"/>
        <w:rPr>
          <w:rFonts w:ascii="Calibri" w:hAnsi="Calibri" w:cs="Calibri"/>
        </w:rPr>
      </w:pPr>
      <w:proofErr w:type="spellStart"/>
      <w:r w:rsidRPr="004C17BC">
        <w:rPr>
          <w:rFonts w:ascii="Calibri" w:hAnsi="Calibri" w:cs="Calibri"/>
        </w:rPr>
        <w:t>Silinski</w:t>
      </w:r>
      <w:proofErr w:type="spellEnd"/>
      <w:r w:rsidRPr="004C17BC">
        <w:rPr>
          <w:rFonts w:ascii="Calibri" w:hAnsi="Calibri" w:cs="Calibri"/>
        </w:rPr>
        <w:t xml:space="preserve">, A., van </w:t>
      </w:r>
      <w:proofErr w:type="spellStart"/>
      <w:r w:rsidRPr="004C17BC">
        <w:rPr>
          <w:rFonts w:ascii="Calibri" w:hAnsi="Calibri" w:cs="Calibri"/>
        </w:rPr>
        <w:t>Belzen</w:t>
      </w:r>
      <w:proofErr w:type="spellEnd"/>
      <w:r w:rsidRPr="004C17BC">
        <w:rPr>
          <w:rFonts w:ascii="Calibri" w:hAnsi="Calibri" w:cs="Calibri"/>
        </w:rPr>
        <w:t xml:space="preserve">, J., Fransen, E., Bouma, T. J., Troch, P., </w:t>
      </w:r>
      <w:proofErr w:type="spellStart"/>
      <w:r w:rsidRPr="004C17BC">
        <w:rPr>
          <w:rFonts w:ascii="Calibri" w:hAnsi="Calibri" w:cs="Calibri"/>
        </w:rPr>
        <w:t>Meire</w:t>
      </w:r>
      <w:proofErr w:type="spellEnd"/>
      <w:r w:rsidRPr="004C17BC">
        <w:rPr>
          <w:rFonts w:ascii="Calibri" w:hAnsi="Calibri" w:cs="Calibri"/>
        </w:rPr>
        <w:t xml:space="preserve">, P., &amp; Temmerman, S. (2016). Quantifying critical conditions for seaward expansion of tidal marshes: A transplantation experiment. </w:t>
      </w:r>
      <w:r w:rsidRPr="004C17BC">
        <w:rPr>
          <w:rFonts w:ascii="Calibri" w:hAnsi="Calibri" w:cs="Calibri"/>
          <w:i/>
          <w:iCs/>
        </w:rPr>
        <w:t>Estuarine, Coastal and Shelf Science</w:t>
      </w:r>
      <w:r w:rsidRPr="004C17BC">
        <w:rPr>
          <w:rFonts w:ascii="Calibri" w:hAnsi="Calibri" w:cs="Calibri"/>
        </w:rPr>
        <w:t xml:space="preserve">, </w:t>
      </w:r>
      <w:r w:rsidRPr="004C17BC">
        <w:rPr>
          <w:rFonts w:ascii="Calibri" w:hAnsi="Calibri" w:cs="Calibri"/>
          <w:i/>
          <w:iCs/>
        </w:rPr>
        <w:t>169</w:t>
      </w:r>
      <w:r w:rsidRPr="004C17BC">
        <w:rPr>
          <w:rFonts w:ascii="Calibri" w:hAnsi="Calibri" w:cs="Calibri"/>
        </w:rPr>
        <w:t>, 227–237. https://doi.org/10.1016/j.ecss.2015.12.012</w:t>
      </w:r>
    </w:p>
    <w:p w14:paraId="018C805D" w14:textId="77777777" w:rsidR="00CE27E3" w:rsidRPr="004C17BC" w:rsidRDefault="00CE27E3" w:rsidP="00CE27E3">
      <w:pPr>
        <w:pStyle w:val="Bibliography"/>
        <w:ind w:left="720" w:hanging="720"/>
        <w:rPr>
          <w:rFonts w:ascii="Calibri" w:hAnsi="Calibri" w:cs="Calibri"/>
        </w:rPr>
      </w:pPr>
      <w:proofErr w:type="spellStart"/>
      <w:r w:rsidRPr="004C17BC">
        <w:rPr>
          <w:rFonts w:ascii="Calibri" w:hAnsi="Calibri" w:cs="Calibri"/>
        </w:rPr>
        <w:t>Simberloff</w:t>
      </w:r>
      <w:proofErr w:type="spellEnd"/>
      <w:r w:rsidRPr="004C17BC">
        <w:rPr>
          <w:rFonts w:ascii="Calibri" w:hAnsi="Calibri" w:cs="Calibri"/>
        </w:rPr>
        <w:t xml:space="preserve">, D., Martin, J.-L., Genovesi, P., Maris, V., Wardle, D. A., Aronson, J., </w:t>
      </w:r>
      <w:proofErr w:type="spellStart"/>
      <w:r w:rsidRPr="004C17BC">
        <w:rPr>
          <w:rFonts w:ascii="Calibri" w:hAnsi="Calibri" w:cs="Calibri"/>
        </w:rPr>
        <w:t>Courchamp</w:t>
      </w:r>
      <w:proofErr w:type="spellEnd"/>
      <w:r w:rsidRPr="004C17BC">
        <w:rPr>
          <w:rFonts w:ascii="Calibri" w:hAnsi="Calibri" w:cs="Calibri"/>
        </w:rPr>
        <w:t xml:space="preserve">, F., Galil, B., García-Berthou, E., Pascal, M., </w:t>
      </w:r>
      <w:proofErr w:type="spellStart"/>
      <w:r w:rsidRPr="004C17BC">
        <w:rPr>
          <w:rFonts w:ascii="Calibri" w:hAnsi="Calibri" w:cs="Calibri"/>
        </w:rPr>
        <w:t>Pyšek</w:t>
      </w:r>
      <w:proofErr w:type="spellEnd"/>
      <w:r w:rsidRPr="004C17BC">
        <w:rPr>
          <w:rFonts w:ascii="Calibri" w:hAnsi="Calibri" w:cs="Calibri"/>
        </w:rPr>
        <w:t xml:space="preserve">, P., Sousa, R., Tabacchi, E., &amp; </w:t>
      </w:r>
      <w:proofErr w:type="spellStart"/>
      <w:r w:rsidRPr="004C17BC">
        <w:rPr>
          <w:rFonts w:ascii="Calibri" w:hAnsi="Calibri" w:cs="Calibri"/>
        </w:rPr>
        <w:t>Vilà</w:t>
      </w:r>
      <w:proofErr w:type="spellEnd"/>
      <w:r w:rsidRPr="004C17BC">
        <w:rPr>
          <w:rFonts w:ascii="Calibri" w:hAnsi="Calibri" w:cs="Calibri"/>
        </w:rPr>
        <w:t xml:space="preserve">, M. (2013). Impacts of biological invasions: What’s what and the way forward. </w:t>
      </w:r>
      <w:r w:rsidRPr="004C17BC">
        <w:rPr>
          <w:rFonts w:ascii="Calibri" w:hAnsi="Calibri" w:cs="Calibri"/>
          <w:i/>
          <w:iCs/>
        </w:rPr>
        <w:t>Trends in Ecology &amp; Evolution</w:t>
      </w:r>
      <w:r w:rsidRPr="004C17BC">
        <w:rPr>
          <w:rFonts w:ascii="Calibri" w:hAnsi="Calibri" w:cs="Calibri"/>
        </w:rPr>
        <w:t xml:space="preserve">, </w:t>
      </w:r>
      <w:r w:rsidRPr="004C17BC">
        <w:rPr>
          <w:rFonts w:ascii="Calibri" w:hAnsi="Calibri" w:cs="Calibri"/>
          <w:i/>
          <w:iCs/>
        </w:rPr>
        <w:t>28</w:t>
      </w:r>
      <w:r w:rsidRPr="004C17BC">
        <w:rPr>
          <w:rFonts w:ascii="Calibri" w:hAnsi="Calibri" w:cs="Calibri"/>
        </w:rPr>
        <w:t>(1), 58–66. https://doi.org/10.1016/j.tree.2012.07.013</w:t>
      </w:r>
    </w:p>
    <w:p w14:paraId="06251FBE"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Srivastava, D. S., &amp; Jefferies, R. L. (1996). A Positive Feedback: Herbivory, Plant Growth, Salinity, and the Desertification of an Arctic Salt-Marsh. </w:t>
      </w:r>
      <w:r w:rsidRPr="004C17BC">
        <w:rPr>
          <w:rFonts w:ascii="Calibri" w:hAnsi="Calibri" w:cs="Calibri"/>
          <w:i/>
          <w:iCs/>
        </w:rPr>
        <w:t>Journal of Ecology</w:t>
      </w:r>
      <w:r w:rsidRPr="004C17BC">
        <w:rPr>
          <w:rFonts w:ascii="Calibri" w:hAnsi="Calibri" w:cs="Calibri"/>
        </w:rPr>
        <w:t xml:space="preserve">, </w:t>
      </w:r>
      <w:r w:rsidRPr="004C17BC">
        <w:rPr>
          <w:rFonts w:ascii="Calibri" w:hAnsi="Calibri" w:cs="Calibri"/>
          <w:i/>
          <w:iCs/>
        </w:rPr>
        <w:t>84</w:t>
      </w:r>
      <w:r w:rsidRPr="004C17BC">
        <w:rPr>
          <w:rFonts w:ascii="Calibri" w:hAnsi="Calibri" w:cs="Calibri"/>
        </w:rPr>
        <w:t>(1), 31–42. JSTOR. https://doi.org/10.2307/2261697</w:t>
      </w:r>
    </w:p>
    <w:p w14:paraId="593F7917"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Stewart, D., Hood, W. G., &amp; Martin, T. G. (2023). Undetected but Widespread: The Cryptic Invasion of Non-Native Cattail (Typha) in a Pacific Northwest Estuary. </w:t>
      </w:r>
      <w:r w:rsidRPr="004C17BC">
        <w:rPr>
          <w:rFonts w:ascii="Calibri" w:hAnsi="Calibri" w:cs="Calibri"/>
          <w:i/>
          <w:iCs/>
        </w:rPr>
        <w:t>Estuaries and Coasts</w:t>
      </w:r>
      <w:r w:rsidRPr="004C17BC">
        <w:rPr>
          <w:rFonts w:ascii="Calibri" w:hAnsi="Calibri" w:cs="Calibri"/>
        </w:rPr>
        <w:t>. https://doi.org/10.1007/s12237-023-01171-4</w:t>
      </w:r>
    </w:p>
    <w:p w14:paraId="73154E1D" w14:textId="77777777" w:rsidR="00CE27E3" w:rsidRPr="004C17BC" w:rsidRDefault="00CE27E3" w:rsidP="00CE27E3">
      <w:pPr>
        <w:pStyle w:val="Bibliography"/>
        <w:ind w:left="720" w:hanging="720"/>
        <w:rPr>
          <w:rFonts w:ascii="Calibri" w:hAnsi="Calibri" w:cs="Calibri"/>
        </w:rPr>
      </w:pPr>
      <w:r w:rsidRPr="004C17BC">
        <w:rPr>
          <w:rFonts w:ascii="Calibri" w:hAnsi="Calibri" w:cs="Calibri"/>
        </w:rPr>
        <w:t xml:space="preserve">Tilman, D. (1990). Constraints and Tradeoffs: Toward a Predictive Theory of Competition and Succession. </w:t>
      </w:r>
      <w:r w:rsidRPr="004C17BC">
        <w:rPr>
          <w:rFonts w:ascii="Calibri" w:hAnsi="Calibri" w:cs="Calibri"/>
          <w:i/>
          <w:iCs/>
        </w:rPr>
        <w:t>Oikos</w:t>
      </w:r>
      <w:r w:rsidRPr="004C17BC">
        <w:rPr>
          <w:rFonts w:ascii="Calibri" w:hAnsi="Calibri" w:cs="Calibri"/>
        </w:rPr>
        <w:t xml:space="preserve">, </w:t>
      </w:r>
      <w:r w:rsidRPr="004C17BC">
        <w:rPr>
          <w:rFonts w:ascii="Calibri" w:hAnsi="Calibri" w:cs="Calibri"/>
          <w:i/>
          <w:iCs/>
        </w:rPr>
        <w:t>58</w:t>
      </w:r>
      <w:r w:rsidRPr="004C17BC">
        <w:rPr>
          <w:rFonts w:ascii="Calibri" w:hAnsi="Calibri" w:cs="Calibri"/>
        </w:rPr>
        <w:t>(1), 3–15. JSTOR. https://doi.org/10.2307/3565355</w:t>
      </w:r>
    </w:p>
    <w:p w14:paraId="13629890" w14:textId="77777777" w:rsidR="00CE27E3" w:rsidRDefault="00CE27E3" w:rsidP="00CE27E3">
      <w:pPr>
        <w:pStyle w:val="Bibliography"/>
        <w:ind w:left="720" w:hanging="720"/>
        <w:rPr>
          <w:rFonts w:ascii="Calibri" w:hAnsi="Calibri" w:cs="Calibri"/>
        </w:rPr>
      </w:pPr>
      <w:r w:rsidRPr="004C17BC">
        <w:rPr>
          <w:rFonts w:ascii="Calibri" w:hAnsi="Calibri" w:cs="Calibri"/>
        </w:rPr>
        <w:t xml:space="preserve">Turner, N. J., </w:t>
      </w:r>
      <w:proofErr w:type="spellStart"/>
      <w:r w:rsidRPr="004C17BC">
        <w:rPr>
          <w:rFonts w:ascii="Calibri" w:hAnsi="Calibri" w:cs="Calibri"/>
        </w:rPr>
        <w:t>Lepofsky</w:t>
      </w:r>
      <w:proofErr w:type="spellEnd"/>
      <w:r w:rsidRPr="004C17BC">
        <w:rPr>
          <w:rFonts w:ascii="Calibri" w:hAnsi="Calibri" w:cs="Calibri"/>
        </w:rPr>
        <w:t xml:space="preserve">, D., &amp; Deur, D. (2013). Plant Management Systems of British Columbia’s First Peoples. </w:t>
      </w:r>
      <w:r w:rsidRPr="004C17BC">
        <w:rPr>
          <w:rFonts w:ascii="Calibri" w:hAnsi="Calibri" w:cs="Calibri"/>
          <w:i/>
          <w:iCs/>
        </w:rPr>
        <w:t>BC Studies: The British Columbian Quarterly</w:t>
      </w:r>
      <w:r w:rsidRPr="004C17BC">
        <w:rPr>
          <w:rFonts w:ascii="Calibri" w:hAnsi="Calibri" w:cs="Calibri"/>
        </w:rPr>
        <w:t xml:space="preserve">, </w:t>
      </w:r>
      <w:r w:rsidRPr="004C17BC">
        <w:rPr>
          <w:rFonts w:ascii="Calibri" w:hAnsi="Calibri" w:cs="Calibri"/>
          <w:i/>
          <w:iCs/>
        </w:rPr>
        <w:t>179</w:t>
      </w:r>
      <w:r w:rsidRPr="004C17BC">
        <w:rPr>
          <w:rFonts w:ascii="Calibri" w:hAnsi="Calibri" w:cs="Calibri"/>
        </w:rPr>
        <w:t>, Article 179. https://doi.org/10.14288/bcs.v0i179.184112</w:t>
      </w:r>
    </w:p>
    <w:p w14:paraId="6667D4C0" w14:textId="77777777" w:rsidR="003453FC" w:rsidRPr="0038350A" w:rsidRDefault="003453FC" w:rsidP="003453FC">
      <w:pPr>
        <w:pStyle w:val="Bibliography"/>
        <w:ind w:left="720" w:hanging="720"/>
        <w:rPr>
          <w:rFonts w:ascii="Calibri" w:hAnsi="Calibri" w:cs="Calibri"/>
        </w:rPr>
      </w:pPr>
      <w:r w:rsidRPr="0038350A">
        <w:rPr>
          <w:rFonts w:ascii="Calibri" w:hAnsi="Calibri" w:cs="Calibri"/>
        </w:rPr>
        <w:t xml:space="preserve">Zedler, J. B. (2017). What’s New in Adaptive Management and Restoration of Coasts and Estuaries? </w:t>
      </w:r>
      <w:r w:rsidRPr="003453FC">
        <w:rPr>
          <w:rFonts w:ascii="Calibri" w:hAnsi="Calibri" w:cs="Calibri"/>
        </w:rPr>
        <w:t>Estuaries and Coasts</w:t>
      </w:r>
      <w:r w:rsidRPr="0038350A">
        <w:rPr>
          <w:rFonts w:ascii="Calibri" w:hAnsi="Calibri" w:cs="Calibri"/>
        </w:rPr>
        <w:t xml:space="preserve">, </w:t>
      </w:r>
      <w:r w:rsidRPr="003453FC">
        <w:rPr>
          <w:rFonts w:ascii="Calibri" w:hAnsi="Calibri" w:cs="Calibri"/>
        </w:rPr>
        <w:t>40</w:t>
      </w:r>
      <w:r w:rsidRPr="0038350A">
        <w:rPr>
          <w:rFonts w:ascii="Calibri" w:hAnsi="Calibri" w:cs="Calibri"/>
        </w:rPr>
        <w:t>(1), 1–21. https://doi.org/10.1007/s12237-016-0162-5</w:t>
      </w:r>
    </w:p>
    <w:p w14:paraId="58A82990" w14:textId="77777777" w:rsidR="003453FC" w:rsidRPr="003453FC" w:rsidRDefault="003453FC" w:rsidP="003453FC">
      <w:pPr>
        <w:rPr>
          <w:lang w:val="en-US"/>
        </w:rPr>
      </w:pPr>
    </w:p>
    <w:p w14:paraId="60D71D83" w14:textId="488380B0" w:rsidR="00D45FFA" w:rsidRDefault="00CE27E3" w:rsidP="007B1351">
      <w:r>
        <w:fldChar w:fldCharType="end"/>
      </w:r>
      <w:r w:rsidR="00D45FFA">
        <w:br w:type="page"/>
      </w:r>
    </w:p>
    <w:p w14:paraId="449BCFF1" w14:textId="3B37A58E" w:rsidR="008F49BA" w:rsidRDefault="008F49BA" w:rsidP="007E7955">
      <w:pPr>
        <w:pStyle w:val="Heading1"/>
        <w:numPr>
          <w:ilvl w:val="0"/>
          <w:numId w:val="0"/>
        </w:numPr>
        <w:spacing w:line="480" w:lineRule="auto"/>
        <w:ind w:left="432" w:hanging="432"/>
      </w:pPr>
      <w:r>
        <w:t>Supplemental</w:t>
      </w:r>
    </w:p>
    <w:p w14:paraId="777D52EC" w14:textId="04892267" w:rsidR="0047588F" w:rsidRPr="00C5394C" w:rsidRDefault="0047588F" w:rsidP="007E7955">
      <w:pPr>
        <w:pStyle w:val="Caption"/>
        <w:keepNext/>
        <w:spacing w:line="480" w:lineRule="auto"/>
        <w:rPr>
          <w:color w:val="auto"/>
          <w:sz w:val="24"/>
          <w:szCs w:val="24"/>
        </w:rPr>
      </w:pPr>
      <w:bookmarkStart w:id="27" w:name="_Toc137735629"/>
      <w:r w:rsidRPr="00C5394C">
        <w:rPr>
          <w:color w:val="auto"/>
          <w:sz w:val="24"/>
          <w:szCs w:val="24"/>
        </w:rPr>
        <w:t xml:space="preserve">Table </w:t>
      </w:r>
      <w:r>
        <w:rPr>
          <w:color w:val="auto"/>
          <w:sz w:val="24"/>
          <w:szCs w:val="24"/>
        </w:rPr>
        <w:t>S1</w:t>
      </w:r>
      <w:r w:rsidRPr="00C5394C">
        <w:rPr>
          <w:color w:val="auto"/>
          <w:sz w:val="24"/>
          <w:szCs w:val="24"/>
        </w:rPr>
        <w:t xml:space="preserve">. </w:t>
      </w:r>
      <w:proofErr w:type="gramStart"/>
      <w:r w:rsidR="00471D65">
        <w:rPr>
          <w:color w:val="auto"/>
          <w:sz w:val="24"/>
          <w:szCs w:val="24"/>
        </w:rPr>
        <w:t>Percent</w:t>
      </w:r>
      <w:proofErr w:type="gramEnd"/>
      <w:r w:rsidR="00471D65">
        <w:rPr>
          <w:color w:val="auto"/>
          <w:sz w:val="24"/>
          <w:szCs w:val="24"/>
        </w:rPr>
        <w:t xml:space="preserve"> r</w:t>
      </w:r>
      <w:r w:rsidRPr="00C5394C">
        <w:rPr>
          <w:color w:val="auto"/>
          <w:sz w:val="24"/>
          <w:szCs w:val="24"/>
        </w:rPr>
        <w:t>elative abundance of each species found in mature vegetation and surface seed banks, averaged across all disturbance types within each estuary.</w:t>
      </w:r>
      <w:bookmarkEnd w:id="27"/>
    </w:p>
    <w:tbl>
      <w:tblPr>
        <w:tblW w:w="9639" w:type="dxa"/>
        <w:tblLook w:val="04A0" w:firstRow="1" w:lastRow="0" w:firstColumn="1" w:lastColumn="0" w:noHBand="0" w:noVBand="1"/>
      </w:tblPr>
      <w:tblGrid>
        <w:gridCol w:w="1520"/>
        <w:gridCol w:w="3428"/>
        <w:gridCol w:w="1998"/>
        <w:gridCol w:w="2693"/>
      </w:tblGrid>
      <w:tr w:rsidR="0047588F" w:rsidRPr="0047588F" w14:paraId="33CE4B77" w14:textId="77777777" w:rsidTr="00327E0E">
        <w:trPr>
          <w:trHeight w:val="400"/>
        </w:trPr>
        <w:tc>
          <w:tcPr>
            <w:tcW w:w="1520" w:type="dxa"/>
            <w:tcBorders>
              <w:top w:val="nil"/>
              <w:left w:val="nil"/>
              <w:bottom w:val="nil"/>
              <w:right w:val="nil"/>
            </w:tcBorders>
            <w:shd w:val="clear" w:color="auto" w:fill="auto"/>
            <w:noWrap/>
            <w:vAlign w:val="center"/>
            <w:hideMark/>
          </w:tcPr>
          <w:p w14:paraId="1DE32026" w14:textId="77777777"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Estuary</w:t>
            </w:r>
          </w:p>
        </w:tc>
        <w:tc>
          <w:tcPr>
            <w:tcW w:w="3428" w:type="dxa"/>
            <w:tcBorders>
              <w:top w:val="nil"/>
              <w:left w:val="nil"/>
              <w:bottom w:val="nil"/>
              <w:right w:val="nil"/>
            </w:tcBorders>
            <w:shd w:val="clear" w:color="auto" w:fill="auto"/>
            <w:noWrap/>
            <w:vAlign w:val="center"/>
            <w:hideMark/>
          </w:tcPr>
          <w:p w14:paraId="2D550163" w14:textId="215391DB" w:rsidR="0047588F" w:rsidRPr="0047588F" w:rsidRDefault="00327E0E" w:rsidP="00FE3842">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Species Latin Name</w:t>
            </w:r>
          </w:p>
        </w:tc>
        <w:tc>
          <w:tcPr>
            <w:tcW w:w="1998" w:type="dxa"/>
            <w:tcBorders>
              <w:top w:val="nil"/>
              <w:left w:val="nil"/>
              <w:bottom w:val="nil"/>
              <w:right w:val="nil"/>
            </w:tcBorders>
            <w:shd w:val="clear" w:color="auto" w:fill="auto"/>
            <w:vAlign w:val="center"/>
            <w:hideMark/>
          </w:tcPr>
          <w:p w14:paraId="3122F38E" w14:textId="121CDB38"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Surface Seed Bank</w:t>
            </w:r>
            <w:r w:rsidR="00471D65">
              <w:rPr>
                <w:rFonts w:ascii="Calibri" w:eastAsia="Times New Roman" w:hAnsi="Calibri" w:cs="Calibri"/>
                <w:b/>
                <w:bCs/>
                <w:color w:val="000000"/>
                <w:lang w:eastAsia="en-CA"/>
              </w:rPr>
              <w:t xml:space="preserve"> (%)</w:t>
            </w:r>
          </w:p>
        </w:tc>
        <w:tc>
          <w:tcPr>
            <w:tcW w:w="2693" w:type="dxa"/>
            <w:tcBorders>
              <w:top w:val="nil"/>
              <w:left w:val="nil"/>
              <w:bottom w:val="nil"/>
              <w:right w:val="nil"/>
            </w:tcBorders>
            <w:shd w:val="clear" w:color="auto" w:fill="auto"/>
            <w:vAlign w:val="center"/>
            <w:hideMark/>
          </w:tcPr>
          <w:p w14:paraId="24E65818" w14:textId="09CA8D82" w:rsidR="0047588F" w:rsidRPr="0047588F" w:rsidRDefault="0047588F" w:rsidP="00FE3842">
            <w:pPr>
              <w:spacing w:after="0" w:line="240" w:lineRule="auto"/>
              <w:jc w:val="center"/>
              <w:rPr>
                <w:rFonts w:ascii="Calibri" w:eastAsia="Times New Roman" w:hAnsi="Calibri" w:cs="Calibri"/>
                <w:b/>
                <w:bCs/>
                <w:color w:val="000000"/>
                <w:lang w:eastAsia="en-CA"/>
              </w:rPr>
            </w:pPr>
            <w:r w:rsidRPr="0047588F">
              <w:rPr>
                <w:rFonts w:ascii="Calibri" w:eastAsia="Times New Roman" w:hAnsi="Calibri" w:cs="Calibri"/>
                <w:b/>
                <w:bCs/>
                <w:color w:val="000000"/>
                <w:lang w:eastAsia="en-CA"/>
              </w:rPr>
              <w:t>Above-ground Vegetation</w:t>
            </w:r>
            <w:r w:rsidR="00471D65">
              <w:rPr>
                <w:rFonts w:ascii="Calibri" w:eastAsia="Times New Roman" w:hAnsi="Calibri" w:cs="Calibri"/>
                <w:b/>
                <w:bCs/>
                <w:color w:val="000000"/>
                <w:lang w:eastAsia="en-CA"/>
              </w:rPr>
              <w:t xml:space="preserve"> (%)</w:t>
            </w:r>
          </w:p>
        </w:tc>
      </w:tr>
      <w:tr w:rsidR="0047588F" w:rsidRPr="0047588F" w14:paraId="48240917" w14:textId="77777777" w:rsidTr="00327E0E">
        <w:trPr>
          <w:trHeight w:val="288"/>
        </w:trPr>
        <w:tc>
          <w:tcPr>
            <w:tcW w:w="1520" w:type="dxa"/>
            <w:vMerge w:val="restart"/>
            <w:tcBorders>
              <w:top w:val="single" w:sz="4" w:space="0" w:color="auto"/>
              <w:left w:val="nil"/>
              <w:bottom w:val="single" w:sz="4" w:space="0" w:color="000000"/>
              <w:right w:val="nil"/>
            </w:tcBorders>
            <w:shd w:val="clear" w:color="auto" w:fill="auto"/>
            <w:noWrap/>
            <w:vAlign w:val="center"/>
            <w:hideMark/>
          </w:tcPr>
          <w:p w14:paraId="0C31D74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Nanaimo</w:t>
            </w:r>
          </w:p>
        </w:tc>
        <w:tc>
          <w:tcPr>
            <w:tcW w:w="3428" w:type="dxa"/>
            <w:tcBorders>
              <w:top w:val="single" w:sz="4" w:space="0" w:color="auto"/>
              <w:left w:val="nil"/>
              <w:bottom w:val="single" w:sz="4" w:space="0" w:color="auto"/>
              <w:right w:val="nil"/>
            </w:tcBorders>
            <w:shd w:val="clear" w:color="auto" w:fill="auto"/>
            <w:noWrap/>
            <w:vAlign w:val="bottom"/>
            <w:hideMark/>
          </w:tcPr>
          <w:p w14:paraId="6F1D218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Agrostis stolonifera</w:t>
            </w:r>
          </w:p>
        </w:tc>
        <w:tc>
          <w:tcPr>
            <w:tcW w:w="1998" w:type="dxa"/>
            <w:tcBorders>
              <w:top w:val="single" w:sz="4" w:space="0" w:color="auto"/>
              <w:left w:val="nil"/>
              <w:bottom w:val="single" w:sz="4" w:space="0" w:color="auto"/>
              <w:right w:val="nil"/>
            </w:tcBorders>
            <w:shd w:val="clear" w:color="auto" w:fill="auto"/>
            <w:noWrap/>
            <w:vAlign w:val="bottom"/>
            <w:hideMark/>
          </w:tcPr>
          <w:p w14:paraId="4B9C043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5.5</w:t>
            </w:r>
          </w:p>
        </w:tc>
        <w:tc>
          <w:tcPr>
            <w:tcW w:w="2693" w:type="dxa"/>
            <w:tcBorders>
              <w:top w:val="single" w:sz="4" w:space="0" w:color="auto"/>
              <w:left w:val="nil"/>
              <w:bottom w:val="single" w:sz="4" w:space="0" w:color="auto"/>
              <w:right w:val="nil"/>
            </w:tcBorders>
            <w:shd w:val="clear" w:color="auto" w:fill="auto"/>
            <w:noWrap/>
            <w:vAlign w:val="bottom"/>
            <w:hideMark/>
          </w:tcPr>
          <w:p w14:paraId="3B5BB46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12.6</w:t>
            </w:r>
          </w:p>
        </w:tc>
      </w:tr>
      <w:tr w:rsidR="0047588F" w:rsidRPr="0047588F" w14:paraId="7832331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97D8A01"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024094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Carex lyngbyei</w:t>
            </w:r>
          </w:p>
        </w:tc>
        <w:tc>
          <w:tcPr>
            <w:tcW w:w="1998" w:type="dxa"/>
            <w:tcBorders>
              <w:top w:val="nil"/>
              <w:left w:val="nil"/>
              <w:bottom w:val="single" w:sz="4" w:space="0" w:color="auto"/>
              <w:right w:val="nil"/>
            </w:tcBorders>
            <w:shd w:val="clear" w:color="auto" w:fill="auto"/>
            <w:noWrap/>
            <w:vAlign w:val="bottom"/>
            <w:hideMark/>
          </w:tcPr>
          <w:p w14:paraId="1183C1A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c>
          <w:tcPr>
            <w:tcW w:w="2693" w:type="dxa"/>
            <w:tcBorders>
              <w:top w:val="nil"/>
              <w:left w:val="nil"/>
              <w:bottom w:val="single" w:sz="4" w:space="0" w:color="auto"/>
              <w:right w:val="nil"/>
            </w:tcBorders>
            <w:shd w:val="clear" w:color="auto" w:fill="auto"/>
            <w:noWrap/>
            <w:vAlign w:val="bottom"/>
            <w:hideMark/>
          </w:tcPr>
          <w:p w14:paraId="06A80E1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26.4</w:t>
            </w:r>
          </w:p>
        </w:tc>
      </w:tr>
      <w:tr w:rsidR="0047588F" w:rsidRPr="0047588F" w14:paraId="5775DCE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38DF0147"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E40C77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Cotula coronopifolia</w:t>
            </w:r>
          </w:p>
        </w:tc>
        <w:tc>
          <w:tcPr>
            <w:tcW w:w="1998" w:type="dxa"/>
            <w:tcBorders>
              <w:top w:val="nil"/>
              <w:left w:val="nil"/>
              <w:bottom w:val="single" w:sz="4" w:space="0" w:color="auto"/>
              <w:right w:val="nil"/>
            </w:tcBorders>
            <w:shd w:val="clear" w:color="auto" w:fill="auto"/>
            <w:noWrap/>
            <w:vAlign w:val="bottom"/>
            <w:hideMark/>
          </w:tcPr>
          <w:p w14:paraId="76306BA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0.6</w:t>
            </w:r>
          </w:p>
        </w:tc>
        <w:tc>
          <w:tcPr>
            <w:tcW w:w="2693" w:type="dxa"/>
            <w:tcBorders>
              <w:top w:val="nil"/>
              <w:left w:val="nil"/>
              <w:bottom w:val="single" w:sz="4" w:space="0" w:color="auto"/>
              <w:right w:val="nil"/>
            </w:tcBorders>
            <w:shd w:val="clear" w:color="auto" w:fill="auto"/>
            <w:noWrap/>
            <w:vAlign w:val="bottom"/>
            <w:hideMark/>
          </w:tcPr>
          <w:p w14:paraId="3A9DEC0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r>
      <w:tr w:rsidR="0047588F" w:rsidRPr="0047588F" w14:paraId="791F6AF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FA97C5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414D6D4"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Deschampsia caespitosa</w:t>
            </w:r>
          </w:p>
        </w:tc>
        <w:tc>
          <w:tcPr>
            <w:tcW w:w="1998" w:type="dxa"/>
            <w:tcBorders>
              <w:top w:val="nil"/>
              <w:left w:val="nil"/>
              <w:bottom w:val="single" w:sz="4" w:space="0" w:color="auto"/>
              <w:right w:val="nil"/>
            </w:tcBorders>
            <w:shd w:val="clear" w:color="auto" w:fill="auto"/>
            <w:noWrap/>
            <w:vAlign w:val="bottom"/>
            <w:hideMark/>
          </w:tcPr>
          <w:p w14:paraId="2E822AB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52AE05C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5.5</w:t>
            </w:r>
          </w:p>
        </w:tc>
      </w:tr>
      <w:tr w:rsidR="0047588F" w:rsidRPr="0047588F" w14:paraId="411ECB04"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5578C3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AAB68B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Distichlis spicata</w:t>
            </w:r>
          </w:p>
        </w:tc>
        <w:tc>
          <w:tcPr>
            <w:tcW w:w="1998" w:type="dxa"/>
            <w:tcBorders>
              <w:top w:val="nil"/>
              <w:left w:val="nil"/>
              <w:bottom w:val="single" w:sz="4" w:space="0" w:color="auto"/>
              <w:right w:val="nil"/>
            </w:tcBorders>
            <w:shd w:val="clear" w:color="auto" w:fill="auto"/>
            <w:noWrap/>
            <w:vAlign w:val="bottom"/>
            <w:hideMark/>
          </w:tcPr>
          <w:p w14:paraId="2CDCC73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2CD34C3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4.1</w:t>
            </w:r>
          </w:p>
        </w:tc>
      </w:tr>
      <w:tr w:rsidR="0047588F" w:rsidRPr="0047588F" w14:paraId="4961A01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55F42C7"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2919C77"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Eleocharis parvula</w:t>
            </w:r>
          </w:p>
        </w:tc>
        <w:tc>
          <w:tcPr>
            <w:tcW w:w="1998" w:type="dxa"/>
            <w:tcBorders>
              <w:top w:val="nil"/>
              <w:left w:val="nil"/>
              <w:bottom w:val="single" w:sz="4" w:space="0" w:color="auto"/>
              <w:right w:val="nil"/>
            </w:tcBorders>
            <w:shd w:val="clear" w:color="auto" w:fill="auto"/>
            <w:noWrap/>
            <w:vAlign w:val="bottom"/>
            <w:hideMark/>
          </w:tcPr>
          <w:p w14:paraId="672C68B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84.6</w:t>
            </w:r>
          </w:p>
        </w:tc>
        <w:tc>
          <w:tcPr>
            <w:tcW w:w="2693" w:type="dxa"/>
            <w:tcBorders>
              <w:top w:val="nil"/>
              <w:left w:val="nil"/>
              <w:bottom w:val="single" w:sz="4" w:space="0" w:color="auto"/>
              <w:right w:val="nil"/>
            </w:tcBorders>
            <w:shd w:val="clear" w:color="auto" w:fill="auto"/>
            <w:noWrap/>
            <w:vAlign w:val="bottom"/>
            <w:hideMark/>
          </w:tcPr>
          <w:p w14:paraId="2DB9BBA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17.8</w:t>
            </w:r>
          </w:p>
        </w:tc>
      </w:tr>
      <w:tr w:rsidR="0047588F" w:rsidRPr="0047588F" w14:paraId="48D323E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14817D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5C8038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Epilobium </w:t>
            </w:r>
            <w:proofErr w:type="spellStart"/>
            <w:r w:rsidRPr="0047588F">
              <w:rPr>
                <w:rFonts w:ascii="Calibri" w:eastAsia="Times New Roman" w:hAnsi="Calibri" w:cs="Calibri"/>
                <w:i/>
                <w:iCs/>
                <w:color w:val="000000"/>
                <w:lang w:eastAsia="en-CA"/>
              </w:rPr>
              <w:t>ciliatum</w:t>
            </w:r>
            <w:proofErr w:type="spellEnd"/>
          </w:p>
        </w:tc>
        <w:tc>
          <w:tcPr>
            <w:tcW w:w="1998" w:type="dxa"/>
            <w:tcBorders>
              <w:top w:val="nil"/>
              <w:left w:val="nil"/>
              <w:bottom w:val="single" w:sz="4" w:space="0" w:color="auto"/>
              <w:right w:val="nil"/>
            </w:tcBorders>
            <w:shd w:val="clear" w:color="auto" w:fill="auto"/>
            <w:noWrap/>
            <w:vAlign w:val="bottom"/>
            <w:hideMark/>
          </w:tcPr>
          <w:p w14:paraId="653D0D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0.9</w:t>
            </w:r>
          </w:p>
        </w:tc>
        <w:tc>
          <w:tcPr>
            <w:tcW w:w="2693" w:type="dxa"/>
            <w:tcBorders>
              <w:top w:val="nil"/>
              <w:left w:val="nil"/>
              <w:bottom w:val="single" w:sz="4" w:space="0" w:color="auto"/>
              <w:right w:val="nil"/>
            </w:tcBorders>
            <w:shd w:val="clear" w:color="auto" w:fill="auto"/>
            <w:noWrap/>
            <w:vAlign w:val="bottom"/>
            <w:hideMark/>
          </w:tcPr>
          <w:p w14:paraId="7241291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592A6CF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7149A19"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C689ABC"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Epilobium </w:t>
            </w:r>
            <w:proofErr w:type="spellStart"/>
            <w:r w:rsidRPr="0047588F">
              <w:rPr>
                <w:rFonts w:ascii="Calibri" w:eastAsia="Times New Roman" w:hAnsi="Calibri" w:cs="Calibri"/>
                <w:i/>
                <w:iCs/>
                <w:color w:val="000000"/>
                <w:lang w:eastAsia="en-CA"/>
              </w:rPr>
              <w:t>glaberrimum</w:t>
            </w:r>
            <w:proofErr w:type="spellEnd"/>
          </w:p>
        </w:tc>
        <w:tc>
          <w:tcPr>
            <w:tcW w:w="1998" w:type="dxa"/>
            <w:tcBorders>
              <w:top w:val="nil"/>
              <w:left w:val="nil"/>
              <w:bottom w:val="single" w:sz="4" w:space="0" w:color="auto"/>
              <w:right w:val="nil"/>
            </w:tcBorders>
            <w:shd w:val="clear" w:color="auto" w:fill="auto"/>
            <w:noWrap/>
            <w:vAlign w:val="bottom"/>
            <w:hideMark/>
          </w:tcPr>
          <w:p w14:paraId="7404D61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7897231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7C426180"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BA4304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4DDE69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Glaux maritima</w:t>
            </w:r>
          </w:p>
        </w:tc>
        <w:tc>
          <w:tcPr>
            <w:tcW w:w="1998" w:type="dxa"/>
            <w:tcBorders>
              <w:top w:val="nil"/>
              <w:left w:val="nil"/>
              <w:bottom w:val="single" w:sz="4" w:space="0" w:color="auto"/>
              <w:right w:val="nil"/>
            </w:tcBorders>
            <w:shd w:val="clear" w:color="auto" w:fill="auto"/>
            <w:noWrap/>
            <w:vAlign w:val="bottom"/>
            <w:hideMark/>
          </w:tcPr>
          <w:p w14:paraId="7FE523C5"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0.8</w:t>
            </w:r>
          </w:p>
        </w:tc>
        <w:tc>
          <w:tcPr>
            <w:tcW w:w="2693" w:type="dxa"/>
            <w:tcBorders>
              <w:top w:val="nil"/>
              <w:left w:val="nil"/>
              <w:bottom w:val="single" w:sz="4" w:space="0" w:color="auto"/>
              <w:right w:val="nil"/>
            </w:tcBorders>
            <w:shd w:val="clear" w:color="auto" w:fill="auto"/>
            <w:noWrap/>
            <w:vAlign w:val="bottom"/>
            <w:hideMark/>
          </w:tcPr>
          <w:p w14:paraId="149A3DD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13.6</w:t>
            </w:r>
          </w:p>
        </w:tc>
      </w:tr>
      <w:tr w:rsidR="0047588F" w:rsidRPr="0047588F" w14:paraId="1224CC8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9A35EE4"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B7C202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Grindelia integrifolia</w:t>
            </w:r>
          </w:p>
        </w:tc>
        <w:tc>
          <w:tcPr>
            <w:tcW w:w="1998" w:type="dxa"/>
            <w:tcBorders>
              <w:top w:val="nil"/>
              <w:left w:val="nil"/>
              <w:bottom w:val="single" w:sz="4" w:space="0" w:color="auto"/>
              <w:right w:val="nil"/>
            </w:tcBorders>
            <w:shd w:val="clear" w:color="auto" w:fill="auto"/>
            <w:noWrap/>
            <w:vAlign w:val="bottom"/>
            <w:hideMark/>
          </w:tcPr>
          <w:p w14:paraId="53EB45E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03E5637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42C73645"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C829A5"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1F2726A"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Isolepis cernua</w:t>
            </w:r>
          </w:p>
        </w:tc>
        <w:tc>
          <w:tcPr>
            <w:tcW w:w="1998" w:type="dxa"/>
            <w:tcBorders>
              <w:top w:val="nil"/>
              <w:left w:val="nil"/>
              <w:bottom w:val="single" w:sz="4" w:space="0" w:color="auto"/>
              <w:right w:val="nil"/>
            </w:tcBorders>
            <w:shd w:val="clear" w:color="auto" w:fill="auto"/>
            <w:noWrap/>
            <w:vAlign w:val="bottom"/>
            <w:hideMark/>
          </w:tcPr>
          <w:p w14:paraId="6D1C0D5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6837E13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6A67974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F79DF9D"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1846F1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articulatus</w:t>
            </w:r>
          </w:p>
        </w:tc>
        <w:tc>
          <w:tcPr>
            <w:tcW w:w="1998" w:type="dxa"/>
            <w:tcBorders>
              <w:top w:val="nil"/>
              <w:left w:val="nil"/>
              <w:bottom w:val="single" w:sz="4" w:space="0" w:color="auto"/>
              <w:right w:val="nil"/>
            </w:tcBorders>
            <w:shd w:val="clear" w:color="auto" w:fill="auto"/>
            <w:noWrap/>
            <w:vAlign w:val="bottom"/>
            <w:hideMark/>
          </w:tcPr>
          <w:p w14:paraId="40A786B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75E8433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3791BE44"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3237A34"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313D69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balticus</w:t>
            </w:r>
          </w:p>
        </w:tc>
        <w:tc>
          <w:tcPr>
            <w:tcW w:w="1998" w:type="dxa"/>
            <w:tcBorders>
              <w:top w:val="nil"/>
              <w:left w:val="nil"/>
              <w:bottom w:val="single" w:sz="4" w:space="0" w:color="auto"/>
              <w:right w:val="nil"/>
            </w:tcBorders>
            <w:shd w:val="clear" w:color="auto" w:fill="auto"/>
            <w:noWrap/>
            <w:vAlign w:val="bottom"/>
            <w:hideMark/>
          </w:tcPr>
          <w:p w14:paraId="4B1C0D1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3.2</w:t>
            </w:r>
          </w:p>
        </w:tc>
        <w:tc>
          <w:tcPr>
            <w:tcW w:w="2693" w:type="dxa"/>
            <w:tcBorders>
              <w:top w:val="nil"/>
              <w:left w:val="nil"/>
              <w:bottom w:val="single" w:sz="4" w:space="0" w:color="auto"/>
              <w:right w:val="nil"/>
            </w:tcBorders>
            <w:shd w:val="clear" w:color="auto" w:fill="auto"/>
            <w:noWrap/>
            <w:vAlign w:val="bottom"/>
            <w:hideMark/>
          </w:tcPr>
          <w:p w14:paraId="0E2EE19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29.3</w:t>
            </w:r>
          </w:p>
        </w:tc>
      </w:tr>
      <w:tr w:rsidR="0047588F" w:rsidRPr="0047588F" w14:paraId="5C630AA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D3D111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AC4954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Juncus </w:t>
            </w:r>
            <w:proofErr w:type="spellStart"/>
            <w:r w:rsidRPr="0047588F">
              <w:rPr>
                <w:rFonts w:ascii="Calibri" w:eastAsia="Times New Roman" w:hAnsi="Calibri" w:cs="Calibri"/>
                <w:i/>
                <w:iCs/>
                <w:color w:val="000000"/>
                <w:lang w:eastAsia="en-CA"/>
              </w:rPr>
              <w:t>ensifolius</w:t>
            </w:r>
            <w:proofErr w:type="spellEnd"/>
          </w:p>
        </w:tc>
        <w:tc>
          <w:tcPr>
            <w:tcW w:w="1998" w:type="dxa"/>
            <w:tcBorders>
              <w:top w:val="nil"/>
              <w:left w:val="nil"/>
              <w:bottom w:val="single" w:sz="4" w:space="0" w:color="auto"/>
              <w:right w:val="nil"/>
            </w:tcBorders>
            <w:shd w:val="clear" w:color="auto" w:fill="auto"/>
            <w:noWrap/>
            <w:vAlign w:val="bottom"/>
            <w:hideMark/>
          </w:tcPr>
          <w:p w14:paraId="429F0E5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1.8</w:t>
            </w:r>
          </w:p>
        </w:tc>
        <w:tc>
          <w:tcPr>
            <w:tcW w:w="2693" w:type="dxa"/>
            <w:tcBorders>
              <w:top w:val="nil"/>
              <w:left w:val="nil"/>
              <w:bottom w:val="single" w:sz="4" w:space="0" w:color="auto"/>
              <w:right w:val="nil"/>
            </w:tcBorders>
            <w:shd w:val="clear" w:color="auto" w:fill="auto"/>
            <w:noWrap/>
            <w:vAlign w:val="bottom"/>
            <w:hideMark/>
          </w:tcPr>
          <w:p w14:paraId="6AF5379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24AE0C2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E9C7E4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4A68E24" w14:textId="7A818B94"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Juncus </w:t>
            </w:r>
            <w:r w:rsidR="00521644">
              <w:rPr>
                <w:rFonts w:ascii="Calibri" w:eastAsia="Times New Roman" w:hAnsi="Calibri" w:cs="Calibri"/>
                <w:i/>
                <w:iCs/>
                <w:color w:val="000000"/>
                <w:lang w:eastAsia="en-CA"/>
              </w:rPr>
              <w:t>tenuis</w:t>
            </w:r>
          </w:p>
        </w:tc>
        <w:tc>
          <w:tcPr>
            <w:tcW w:w="1998" w:type="dxa"/>
            <w:tcBorders>
              <w:top w:val="nil"/>
              <w:left w:val="nil"/>
              <w:bottom w:val="single" w:sz="4" w:space="0" w:color="auto"/>
              <w:right w:val="nil"/>
            </w:tcBorders>
            <w:shd w:val="clear" w:color="auto" w:fill="auto"/>
            <w:noWrap/>
            <w:vAlign w:val="bottom"/>
            <w:hideMark/>
          </w:tcPr>
          <w:p w14:paraId="74A7D51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c>
          <w:tcPr>
            <w:tcW w:w="2693" w:type="dxa"/>
            <w:tcBorders>
              <w:top w:val="nil"/>
              <w:left w:val="nil"/>
              <w:bottom w:val="single" w:sz="4" w:space="0" w:color="auto"/>
              <w:right w:val="nil"/>
            </w:tcBorders>
            <w:shd w:val="clear" w:color="auto" w:fill="auto"/>
            <w:noWrap/>
            <w:vAlign w:val="bottom"/>
            <w:hideMark/>
          </w:tcPr>
          <w:p w14:paraId="65A5CCC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6508838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4159C98"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C255E4B"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Potentilla anserina pacifica</w:t>
            </w:r>
          </w:p>
        </w:tc>
        <w:tc>
          <w:tcPr>
            <w:tcW w:w="1998" w:type="dxa"/>
            <w:tcBorders>
              <w:top w:val="nil"/>
              <w:left w:val="nil"/>
              <w:bottom w:val="single" w:sz="4" w:space="0" w:color="auto"/>
              <w:right w:val="nil"/>
            </w:tcBorders>
            <w:shd w:val="clear" w:color="auto" w:fill="auto"/>
            <w:noWrap/>
            <w:vAlign w:val="bottom"/>
            <w:hideMark/>
          </w:tcPr>
          <w:p w14:paraId="109F2C6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w:t>
            </w:r>
          </w:p>
        </w:tc>
        <w:tc>
          <w:tcPr>
            <w:tcW w:w="2693" w:type="dxa"/>
            <w:tcBorders>
              <w:top w:val="nil"/>
              <w:left w:val="nil"/>
              <w:bottom w:val="single" w:sz="4" w:space="0" w:color="auto"/>
              <w:right w:val="nil"/>
            </w:tcBorders>
            <w:shd w:val="clear" w:color="auto" w:fill="auto"/>
            <w:noWrap/>
            <w:vAlign w:val="bottom"/>
            <w:hideMark/>
          </w:tcPr>
          <w:p w14:paraId="4576438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8.9</w:t>
            </w:r>
          </w:p>
        </w:tc>
      </w:tr>
      <w:tr w:rsidR="0047588F" w:rsidRPr="0047588F" w14:paraId="0932585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2AABFD1"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B8D6C6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Salicornia depressa</w:t>
            </w:r>
          </w:p>
        </w:tc>
        <w:tc>
          <w:tcPr>
            <w:tcW w:w="1998" w:type="dxa"/>
            <w:tcBorders>
              <w:top w:val="nil"/>
              <w:left w:val="nil"/>
              <w:bottom w:val="single" w:sz="4" w:space="0" w:color="auto"/>
              <w:right w:val="nil"/>
            </w:tcBorders>
            <w:shd w:val="clear" w:color="auto" w:fill="auto"/>
            <w:noWrap/>
            <w:vAlign w:val="bottom"/>
            <w:hideMark/>
          </w:tcPr>
          <w:p w14:paraId="3B83623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3A5C7CF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0.8</w:t>
            </w:r>
          </w:p>
        </w:tc>
      </w:tr>
      <w:tr w:rsidR="0047588F" w:rsidRPr="0047588F" w14:paraId="7064323F"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B749258"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21F1A6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Spergularia canadensis</w:t>
            </w:r>
          </w:p>
        </w:tc>
        <w:tc>
          <w:tcPr>
            <w:tcW w:w="1998" w:type="dxa"/>
            <w:tcBorders>
              <w:top w:val="nil"/>
              <w:left w:val="nil"/>
              <w:bottom w:val="single" w:sz="4" w:space="0" w:color="auto"/>
              <w:right w:val="nil"/>
            </w:tcBorders>
            <w:shd w:val="clear" w:color="auto" w:fill="auto"/>
            <w:noWrap/>
            <w:vAlign w:val="bottom"/>
            <w:hideMark/>
          </w:tcPr>
          <w:p w14:paraId="2E44B29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9.1</w:t>
            </w:r>
          </w:p>
        </w:tc>
        <w:tc>
          <w:tcPr>
            <w:tcW w:w="2693" w:type="dxa"/>
            <w:tcBorders>
              <w:top w:val="nil"/>
              <w:left w:val="nil"/>
              <w:bottom w:val="single" w:sz="4" w:space="0" w:color="auto"/>
              <w:right w:val="nil"/>
            </w:tcBorders>
            <w:shd w:val="clear" w:color="auto" w:fill="auto"/>
            <w:noWrap/>
            <w:vAlign w:val="bottom"/>
            <w:hideMark/>
          </w:tcPr>
          <w:p w14:paraId="1C8333B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7.1</w:t>
            </w:r>
          </w:p>
        </w:tc>
      </w:tr>
      <w:tr w:rsidR="0047588F" w:rsidRPr="0047588F" w14:paraId="09A39D2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EE8864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973770E"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Symphyotrichum subspicatum</w:t>
            </w:r>
          </w:p>
        </w:tc>
        <w:tc>
          <w:tcPr>
            <w:tcW w:w="1998" w:type="dxa"/>
            <w:tcBorders>
              <w:top w:val="nil"/>
              <w:left w:val="nil"/>
              <w:bottom w:val="single" w:sz="4" w:space="0" w:color="auto"/>
              <w:right w:val="nil"/>
            </w:tcBorders>
            <w:shd w:val="clear" w:color="auto" w:fill="auto"/>
            <w:noWrap/>
            <w:vAlign w:val="bottom"/>
            <w:hideMark/>
          </w:tcPr>
          <w:p w14:paraId="6DAB2F3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2.3</w:t>
            </w:r>
          </w:p>
        </w:tc>
        <w:tc>
          <w:tcPr>
            <w:tcW w:w="2693" w:type="dxa"/>
            <w:tcBorders>
              <w:top w:val="nil"/>
              <w:left w:val="nil"/>
              <w:bottom w:val="single" w:sz="4" w:space="0" w:color="auto"/>
              <w:right w:val="nil"/>
            </w:tcBorders>
            <w:shd w:val="clear" w:color="auto" w:fill="auto"/>
            <w:noWrap/>
            <w:vAlign w:val="bottom"/>
            <w:hideMark/>
          </w:tcPr>
          <w:p w14:paraId="5B3E8C9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35.8</w:t>
            </w:r>
          </w:p>
        </w:tc>
      </w:tr>
      <w:tr w:rsidR="0047588F" w:rsidRPr="0047588F" w14:paraId="5C17D372"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4D17C8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3A3DF5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Trifolium wormskioldii</w:t>
            </w:r>
          </w:p>
        </w:tc>
        <w:tc>
          <w:tcPr>
            <w:tcW w:w="1998" w:type="dxa"/>
            <w:tcBorders>
              <w:top w:val="nil"/>
              <w:left w:val="nil"/>
              <w:bottom w:val="single" w:sz="4" w:space="0" w:color="auto"/>
              <w:right w:val="nil"/>
            </w:tcBorders>
            <w:shd w:val="clear" w:color="auto" w:fill="auto"/>
            <w:noWrap/>
            <w:vAlign w:val="bottom"/>
            <w:hideMark/>
          </w:tcPr>
          <w:p w14:paraId="50BC4707"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61FDAE6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r>
      <w:tr w:rsidR="0047588F" w:rsidRPr="0047588F" w14:paraId="6264F4A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1917A13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A8FBA67"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Triglochin maritima</w:t>
            </w:r>
          </w:p>
        </w:tc>
        <w:tc>
          <w:tcPr>
            <w:tcW w:w="1998" w:type="dxa"/>
            <w:tcBorders>
              <w:top w:val="nil"/>
              <w:left w:val="nil"/>
              <w:bottom w:val="single" w:sz="4" w:space="0" w:color="auto"/>
              <w:right w:val="nil"/>
            </w:tcBorders>
            <w:shd w:val="clear" w:color="auto" w:fill="auto"/>
            <w:noWrap/>
            <w:vAlign w:val="bottom"/>
            <w:hideMark/>
          </w:tcPr>
          <w:p w14:paraId="36EEE6F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061EB07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4.6</w:t>
            </w:r>
          </w:p>
        </w:tc>
      </w:tr>
      <w:tr w:rsidR="0047588F" w:rsidRPr="0047588F" w14:paraId="01BEE7D4" w14:textId="77777777" w:rsidTr="00327E0E">
        <w:trPr>
          <w:trHeight w:val="75"/>
        </w:trPr>
        <w:tc>
          <w:tcPr>
            <w:tcW w:w="1520" w:type="dxa"/>
            <w:tcBorders>
              <w:top w:val="nil"/>
              <w:left w:val="nil"/>
              <w:bottom w:val="nil"/>
              <w:right w:val="nil"/>
            </w:tcBorders>
            <w:shd w:val="clear" w:color="000000" w:fill="A6A6A6"/>
            <w:noWrap/>
            <w:vAlign w:val="bottom"/>
            <w:hideMark/>
          </w:tcPr>
          <w:p w14:paraId="5609F385" w14:textId="77777777" w:rsidR="0047588F" w:rsidRPr="0047588F" w:rsidRDefault="0047588F" w:rsidP="00FE3842">
            <w:pPr>
              <w:spacing w:after="0" w:line="240" w:lineRule="auto"/>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c>
          <w:tcPr>
            <w:tcW w:w="3428" w:type="dxa"/>
            <w:tcBorders>
              <w:top w:val="nil"/>
              <w:left w:val="nil"/>
              <w:bottom w:val="nil"/>
              <w:right w:val="nil"/>
            </w:tcBorders>
            <w:shd w:val="clear" w:color="000000" w:fill="A6A6A6"/>
            <w:noWrap/>
            <w:vAlign w:val="bottom"/>
            <w:hideMark/>
          </w:tcPr>
          <w:p w14:paraId="56D01B2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w:t>
            </w:r>
          </w:p>
        </w:tc>
        <w:tc>
          <w:tcPr>
            <w:tcW w:w="1998" w:type="dxa"/>
            <w:tcBorders>
              <w:top w:val="nil"/>
              <w:left w:val="nil"/>
              <w:bottom w:val="nil"/>
              <w:right w:val="nil"/>
            </w:tcBorders>
            <w:shd w:val="clear" w:color="000000" w:fill="A6A6A6"/>
            <w:noWrap/>
            <w:vAlign w:val="bottom"/>
            <w:hideMark/>
          </w:tcPr>
          <w:p w14:paraId="08AE2E8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c>
          <w:tcPr>
            <w:tcW w:w="2693" w:type="dxa"/>
            <w:tcBorders>
              <w:top w:val="nil"/>
              <w:left w:val="nil"/>
              <w:bottom w:val="nil"/>
              <w:right w:val="nil"/>
            </w:tcBorders>
            <w:shd w:val="clear" w:color="000000" w:fill="A6A6A6"/>
            <w:noWrap/>
            <w:vAlign w:val="bottom"/>
            <w:hideMark/>
          </w:tcPr>
          <w:p w14:paraId="1D3B29CA"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 </w:t>
            </w:r>
          </w:p>
        </w:tc>
      </w:tr>
      <w:tr w:rsidR="0047588F" w:rsidRPr="0047588F" w14:paraId="2916A8AB" w14:textId="77777777" w:rsidTr="00327E0E">
        <w:trPr>
          <w:trHeight w:val="288"/>
        </w:trPr>
        <w:tc>
          <w:tcPr>
            <w:tcW w:w="1520" w:type="dxa"/>
            <w:vMerge w:val="restart"/>
            <w:tcBorders>
              <w:top w:val="single" w:sz="4" w:space="0" w:color="auto"/>
              <w:left w:val="nil"/>
              <w:bottom w:val="single" w:sz="4" w:space="0" w:color="000000"/>
              <w:right w:val="nil"/>
            </w:tcBorders>
            <w:shd w:val="clear" w:color="auto" w:fill="auto"/>
            <w:vAlign w:val="center"/>
            <w:hideMark/>
          </w:tcPr>
          <w:p w14:paraId="13D06165"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Little Qualicum</w:t>
            </w:r>
          </w:p>
        </w:tc>
        <w:tc>
          <w:tcPr>
            <w:tcW w:w="3428" w:type="dxa"/>
            <w:tcBorders>
              <w:top w:val="single" w:sz="4" w:space="0" w:color="auto"/>
              <w:left w:val="nil"/>
              <w:bottom w:val="single" w:sz="4" w:space="0" w:color="auto"/>
              <w:right w:val="nil"/>
            </w:tcBorders>
            <w:shd w:val="clear" w:color="auto" w:fill="auto"/>
            <w:noWrap/>
            <w:vAlign w:val="bottom"/>
            <w:hideMark/>
          </w:tcPr>
          <w:p w14:paraId="3C352E12"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Achillea millefolium</w:t>
            </w:r>
          </w:p>
        </w:tc>
        <w:tc>
          <w:tcPr>
            <w:tcW w:w="1998" w:type="dxa"/>
            <w:tcBorders>
              <w:top w:val="single" w:sz="4" w:space="0" w:color="auto"/>
              <w:left w:val="nil"/>
              <w:bottom w:val="single" w:sz="4" w:space="0" w:color="auto"/>
              <w:right w:val="nil"/>
            </w:tcBorders>
            <w:shd w:val="clear" w:color="auto" w:fill="auto"/>
            <w:noWrap/>
            <w:vAlign w:val="bottom"/>
            <w:hideMark/>
          </w:tcPr>
          <w:p w14:paraId="5F3532D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2.7</w:t>
            </w:r>
          </w:p>
        </w:tc>
        <w:tc>
          <w:tcPr>
            <w:tcW w:w="2693" w:type="dxa"/>
            <w:tcBorders>
              <w:top w:val="single" w:sz="4" w:space="0" w:color="auto"/>
              <w:left w:val="nil"/>
              <w:bottom w:val="single" w:sz="4" w:space="0" w:color="auto"/>
              <w:right w:val="nil"/>
            </w:tcBorders>
            <w:shd w:val="clear" w:color="auto" w:fill="auto"/>
            <w:noWrap/>
            <w:vAlign w:val="bottom"/>
            <w:hideMark/>
          </w:tcPr>
          <w:p w14:paraId="16ED4FA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209DC6BF"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5517585"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116618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Agropyron repens</w:t>
            </w:r>
          </w:p>
        </w:tc>
        <w:tc>
          <w:tcPr>
            <w:tcW w:w="1998" w:type="dxa"/>
            <w:tcBorders>
              <w:top w:val="nil"/>
              <w:left w:val="nil"/>
              <w:bottom w:val="single" w:sz="4" w:space="0" w:color="auto"/>
              <w:right w:val="nil"/>
            </w:tcBorders>
            <w:shd w:val="clear" w:color="auto" w:fill="auto"/>
            <w:noWrap/>
            <w:vAlign w:val="bottom"/>
            <w:hideMark/>
          </w:tcPr>
          <w:p w14:paraId="52A78B2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0092F3C0"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0.9</w:t>
            </w:r>
          </w:p>
        </w:tc>
      </w:tr>
      <w:tr w:rsidR="0047588F" w:rsidRPr="0047588F" w14:paraId="67E2E18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FDE577E"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6FCF5466"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Agrostis stolonifera</w:t>
            </w:r>
          </w:p>
        </w:tc>
        <w:tc>
          <w:tcPr>
            <w:tcW w:w="1998" w:type="dxa"/>
            <w:tcBorders>
              <w:top w:val="nil"/>
              <w:left w:val="nil"/>
              <w:bottom w:val="single" w:sz="4" w:space="0" w:color="auto"/>
              <w:right w:val="nil"/>
            </w:tcBorders>
            <w:shd w:val="clear" w:color="auto" w:fill="auto"/>
            <w:noWrap/>
            <w:vAlign w:val="bottom"/>
            <w:hideMark/>
          </w:tcPr>
          <w:p w14:paraId="7FE5CA7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34.6</w:t>
            </w:r>
          </w:p>
        </w:tc>
        <w:tc>
          <w:tcPr>
            <w:tcW w:w="2693" w:type="dxa"/>
            <w:tcBorders>
              <w:top w:val="nil"/>
              <w:left w:val="nil"/>
              <w:bottom w:val="single" w:sz="4" w:space="0" w:color="auto"/>
              <w:right w:val="nil"/>
            </w:tcBorders>
            <w:shd w:val="clear" w:color="auto" w:fill="auto"/>
            <w:noWrap/>
            <w:vAlign w:val="bottom"/>
            <w:hideMark/>
          </w:tcPr>
          <w:p w14:paraId="2D95D39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36.4</w:t>
            </w:r>
          </w:p>
        </w:tc>
      </w:tr>
      <w:tr w:rsidR="0047588F" w:rsidRPr="0047588F" w14:paraId="5A6D26E1"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05F3EA0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966593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 xml:space="preserve">Atriplex </w:t>
            </w:r>
            <w:proofErr w:type="spellStart"/>
            <w:r w:rsidRPr="0047588F">
              <w:rPr>
                <w:rFonts w:ascii="Calibri" w:eastAsia="Times New Roman" w:hAnsi="Calibri" w:cs="Calibri"/>
                <w:i/>
                <w:iCs/>
                <w:color w:val="000000"/>
                <w:lang w:eastAsia="en-CA"/>
              </w:rPr>
              <w:t>patula</w:t>
            </w:r>
            <w:proofErr w:type="spellEnd"/>
          </w:p>
        </w:tc>
        <w:tc>
          <w:tcPr>
            <w:tcW w:w="1998" w:type="dxa"/>
            <w:tcBorders>
              <w:top w:val="nil"/>
              <w:left w:val="nil"/>
              <w:bottom w:val="single" w:sz="4" w:space="0" w:color="auto"/>
              <w:right w:val="nil"/>
            </w:tcBorders>
            <w:shd w:val="clear" w:color="auto" w:fill="auto"/>
            <w:noWrap/>
            <w:vAlign w:val="bottom"/>
            <w:hideMark/>
          </w:tcPr>
          <w:p w14:paraId="6679C682"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c>
          <w:tcPr>
            <w:tcW w:w="2693" w:type="dxa"/>
            <w:tcBorders>
              <w:top w:val="nil"/>
              <w:left w:val="nil"/>
              <w:bottom w:val="single" w:sz="4" w:space="0" w:color="auto"/>
              <w:right w:val="nil"/>
            </w:tcBorders>
            <w:shd w:val="clear" w:color="auto" w:fill="auto"/>
            <w:noWrap/>
            <w:vAlign w:val="bottom"/>
            <w:hideMark/>
          </w:tcPr>
          <w:p w14:paraId="68C14B2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1.0</w:t>
            </w:r>
          </w:p>
        </w:tc>
      </w:tr>
      <w:tr w:rsidR="0047588F" w:rsidRPr="0047588F" w14:paraId="3DC67596"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796E6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558DA8D4"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Carex lyngbyei</w:t>
            </w:r>
          </w:p>
        </w:tc>
        <w:tc>
          <w:tcPr>
            <w:tcW w:w="1998" w:type="dxa"/>
            <w:tcBorders>
              <w:top w:val="nil"/>
              <w:left w:val="nil"/>
              <w:bottom w:val="single" w:sz="4" w:space="0" w:color="auto"/>
              <w:right w:val="nil"/>
            </w:tcBorders>
            <w:shd w:val="clear" w:color="auto" w:fill="auto"/>
            <w:noWrap/>
            <w:vAlign w:val="bottom"/>
            <w:hideMark/>
          </w:tcPr>
          <w:p w14:paraId="3692C26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5.6</w:t>
            </w:r>
          </w:p>
        </w:tc>
        <w:tc>
          <w:tcPr>
            <w:tcW w:w="2693" w:type="dxa"/>
            <w:tcBorders>
              <w:top w:val="nil"/>
              <w:left w:val="nil"/>
              <w:bottom w:val="single" w:sz="4" w:space="0" w:color="auto"/>
              <w:right w:val="nil"/>
            </w:tcBorders>
            <w:shd w:val="clear" w:color="auto" w:fill="auto"/>
            <w:noWrap/>
            <w:vAlign w:val="bottom"/>
            <w:hideMark/>
          </w:tcPr>
          <w:p w14:paraId="3739C1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28.8</w:t>
            </w:r>
          </w:p>
        </w:tc>
      </w:tr>
      <w:tr w:rsidR="0047588F" w:rsidRPr="0047588F" w14:paraId="7E374238"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0199E08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07463C4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Cotula coronopifolia</w:t>
            </w:r>
          </w:p>
        </w:tc>
        <w:tc>
          <w:tcPr>
            <w:tcW w:w="1998" w:type="dxa"/>
            <w:tcBorders>
              <w:top w:val="nil"/>
              <w:left w:val="nil"/>
              <w:bottom w:val="single" w:sz="4" w:space="0" w:color="auto"/>
              <w:right w:val="nil"/>
            </w:tcBorders>
            <w:shd w:val="clear" w:color="auto" w:fill="auto"/>
            <w:noWrap/>
            <w:vAlign w:val="bottom"/>
            <w:hideMark/>
          </w:tcPr>
          <w:p w14:paraId="2C836F5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3.7</w:t>
            </w:r>
          </w:p>
        </w:tc>
        <w:tc>
          <w:tcPr>
            <w:tcW w:w="2693" w:type="dxa"/>
            <w:tcBorders>
              <w:top w:val="nil"/>
              <w:left w:val="nil"/>
              <w:bottom w:val="single" w:sz="4" w:space="0" w:color="auto"/>
              <w:right w:val="nil"/>
            </w:tcBorders>
            <w:shd w:val="clear" w:color="auto" w:fill="auto"/>
            <w:noWrap/>
            <w:vAlign w:val="bottom"/>
            <w:hideMark/>
          </w:tcPr>
          <w:p w14:paraId="495287F9"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4.1</w:t>
            </w:r>
          </w:p>
        </w:tc>
      </w:tr>
      <w:tr w:rsidR="0047588F" w:rsidRPr="0047588F" w14:paraId="0CDBC60B"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8F44FF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FAB6BC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Eleocharis parvula</w:t>
            </w:r>
          </w:p>
        </w:tc>
        <w:tc>
          <w:tcPr>
            <w:tcW w:w="1998" w:type="dxa"/>
            <w:tcBorders>
              <w:top w:val="nil"/>
              <w:left w:val="nil"/>
              <w:bottom w:val="single" w:sz="4" w:space="0" w:color="auto"/>
              <w:right w:val="nil"/>
            </w:tcBorders>
            <w:shd w:val="clear" w:color="auto" w:fill="auto"/>
            <w:noWrap/>
            <w:vAlign w:val="bottom"/>
            <w:hideMark/>
          </w:tcPr>
          <w:p w14:paraId="2E517C1E"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48.5</w:t>
            </w:r>
          </w:p>
        </w:tc>
        <w:tc>
          <w:tcPr>
            <w:tcW w:w="2693" w:type="dxa"/>
            <w:tcBorders>
              <w:top w:val="nil"/>
              <w:left w:val="nil"/>
              <w:bottom w:val="single" w:sz="4" w:space="0" w:color="auto"/>
              <w:right w:val="nil"/>
            </w:tcBorders>
            <w:shd w:val="clear" w:color="auto" w:fill="auto"/>
            <w:noWrap/>
            <w:vAlign w:val="bottom"/>
            <w:hideMark/>
          </w:tcPr>
          <w:p w14:paraId="07135CC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43.5</w:t>
            </w:r>
          </w:p>
        </w:tc>
      </w:tr>
      <w:tr w:rsidR="0047588F" w:rsidRPr="0047588F" w14:paraId="1A2ADE55"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64955DB"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266FA5C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Glaux maritima</w:t>
            </w:r>
          </w:p>
        </w:tc>
        <w:tc>
          <w:tcPr>
            <w:tcW w:w="1998" w:type="dxa"/>
            <w:tcBorders>
              <w:top w:val="nil"/>
              <w:left w:val="nil"/>
              <w:bottom w:val="single" w:sz="4" w:space="0" w:color="auto"/>
              <w:right w:val="nil"/>
            </w:tcBorders>
            <w:shd w:val="clear" w:color="auto" w:fill="auto"/>
            <w:noWrap/>
            <w:vAlign w:val="bottom"/>
            <w:hideMark/>
          </w:tcPr>
          <w:p w14:paraId="24386AE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1.9</w:t>
            </w:r>
          </w:p>
        </w:tc>
        <w:tc>
          <w:tcPr>
            <w:tcW w:w="2693" w:type="dxa"/>
            <w:tcBorders>
              <w:top w:val="nil"/>
              <w:left w:val="nil"/>
              <w:bottom w:val="single" w:sz="4" w:space="0" w:color="auto"/>
              <w:right w:val="nil"/>
            </w:tcBorders>
            <w:shd w:val="clear" w:color="auto" w:fill="auto"/>
            <w:noWrap/>
            <w:vAlign w:val="bottom"/>
            <w:hideMark/>
          </w:tcPr>
          <w:p w14:paraId="23694FE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4.8</w:t>
            </w:r>
          </w:p>
        </w:tc>
      </w:tr>
      <w:tr w:rsidR="0047588F" w:rsidRPr="0047588F" w14:paraId="1368D7EE"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79A02A0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07A70B9"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Isolepis cernua</w:t>
            </w:r>
          </w:p>
        </w:tc>
        <w:tc>
          <w:tcPr>
            <w:tcW w:w="1998" w:type="dxa"/>
            <w:tcBorders>
              <w:top w:val="nil"/>
              <w:left w:val="nil"/>
              <w:bottom w:val="single" w:sz="4" w:space="0" w:color="auto"/>
              <w:right w:val="nil"/>
            </w:tcBorders>
            <w:shd w:val="clear" w:color="auto" w:fill="auto"/>
            <w:noWrap/>
            <w:vAlign w:val="bottom"/>
            <w:hideMark/>
          </w:tcPr>
          <w:p w14:paraId="444312A4"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0.3</w:t>
            </w:r>
          </w:p>
        </w:tc>
        <w:tc>
          <w:tcPr>
            <w:tcW w:w="2693" w:type="dxa"/>
            <w:tcBorders>
              <w:top w:val="nil"/>
              <w:left w:val="nil"/>
              <w:bottom w:val="single" w:sz="4" w:space="0" w:color="auto"/>
              <w:right w:val="nil"/>
            </w:tcBorders>
            <w:shd w:val="clear" w:color="auto" w:fill="auto"/>
            <w:noWrap/>
            <w:vAlign w:val="bottom"/>
            <w:hideMark/>
          </w:tcPr>
          <w:p w14:paraId="5C2F089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3D970511"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383087D9"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38D86720"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Juncus balticus</w:t>
            </w:r>
          </w:p>
        </w:tc>
        <w:tc>
          <w:tcPr>
            <w:tcW w:w="1998" w:type="dxa"/>
            <w:tcBorders>
              <w:top w:val="nil"/>
              <w:left w:val="nil"/>
              <w:bottom w:val="single" w:sz="4" w:space="0" w:color="auto"/>
              <w:right w:val="nil"/>
            </w:tcBorders>
            <w:shd w:val="clear" w:color="auto" w:fill="auto"/>
            <w:noWrap/>
            <w:vAlign w:val="bottom"/>
            <w:hideMark/>
          </w:tcPr>
          <w:p w14:paraId="60F9018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20.6</w:t>
            </w:r>
          </w:p>
        </w:tc>
        <w:tc>
          <w:tcPr>
            <w:tcW w:w="2693" w:type="dxa"/>
            <w:tcBorders>
              <w:top w:val="nil"/>
              <w:left w:val="nil"/>
              <w:bottom w:val="single" w:sz="4" w:space="0" w:color="auto"/>
              <w:right w:val="nil"/>
            </w:tcBorders>
            <w:shd w:val="clear" w:color="auto" w:fill="auto"/>
            <w:noWrap/>
            <w:vAlign w:val="bottom"/>
            <w:hideMark/>
          </w:tcPr>
          <w:p w14:paraId="4BBD70A3"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11.3</w:t>
            </w:r>
          </w:p>
        </w:tc>
      </w:tr>
      <w:tr w:rsidR="0047588F" w:rsidRPr="0047588F" w14:paraId="1BC3D479"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65AA2D9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CA3366B"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Poa palustris</w:t>
            </w:r>
          </w:p>
        </w:tc>
        <w:tc>
          <w:tcPr>
            <w:tcW w:w="1998" w:type="dxa"/>
            <w:tcBorders>
              <w:top w:val="nil"/>
              <w:left w:val="nil"/>
              <w:bottom w:val="single" w:sz="4" w:space="0" w:color="auto"/>
              <w:right w:val="nil"/>
            </w:tcBorders>
            <w:shd w:val="clear" w:color="auto" w:fill="auto"/>
            <w:noWrap/>
            <w:vAlign w:val="bottom"/>
            <w:hideMark/>
          </w:tcPr>
          <w:p w14:paraId="2C6B94C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0.2</w:t>
            </w:r>
          </w:p>
        </w:tc>
        <w:tc>
          <w:tcPr>
            <w:tcW w:w="2693" w:type="dxa"/>
            <w:tcBorders>
              <w:top w:val="nil"/>
              <w:left w:val="nil"/>
              <w:bottom w:val="single" w:sz="4" w:space="0" w:color="auto"/>
              <w:right w:val="nil"/>
            </w:tcBorders>
            <w:shd w:val="clear" w:color="auto" w:fill="auto"/>
            <w:noWrap/>
            <w:vAlign w:val="bottom"/>
            <w:hideMark/>
          </w:tcPr>
          <w:p w14:paraId="3637F521"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0.0</w:t>
            </w:r>
          </w:p>
        </w:tc>
      </w:tr>
      <w:tr w:rsidR="0047588F" w:rsidRPr="0047588F" w14:paraId="40E2EDCD"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2BAE57F"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1703142D"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Potentilla anserina pacifica</w:t>
            </w:r>
          </w:p>
        </w:tc>
        <w:tc>
          <w:tcPr>
            <w:tcW w:w="1998" w:type="dxa"/>
            <w:tcBorders>
              <w:top w:val="nil"/>
              <w:left w:val="nil"/>
              <w:bottom w:val="single" w:sz="4" w:space="0" w:color="auto"/>
              <w:right w:val="nil"/>
            </w:tcBorders>
            <w:shd w:val="clear" w:color="auto" w:fill="auto"/>
            <w:noWrap/>
            <w:vAlign w:val="bottom"/>
            <w:hideMark/>
          </w:tcPr>
          <w:p w14:paraId="6C29D06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2.6</w:t>
            </w:r>
          </w:p>
        </w:tc>
        <w:tc>
          <w:tcPr>
            <w:tcW w:w="2693" w:type="dxa"/>
            <w:tcBorders>
              <w:top w:val="nil"/>
              <w:left w:val="nil"/>
              <w:bottom w:val="single" w:sz="4" w:space="0" w:color="auto"/>
              <w:right w:val="nil"/>
            </w:tcBorders>
            <w:shd w:val="clear" w:color="auto" w:fill="auto"/>
            <w:noWrap/>
            <w:vAlign w:val="bottom"/>
            <w:hideMark/>
          </w:tcPr>
          <w:p w14:paraId="1B2DA36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12.2</w:t>
            </w:r>
          </w:p>
        </w:tc>
      </w:tr>
      <w:tr w:rsidR="0047588F" w:rsidRPr="0047588F" w14:paraId="2C1B435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5CC9B893"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1BAB6D8"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Salicornia depressa</w:t>
            </w:r>
          </w:p>
        </w:tc>
        <w:tc>
          <w:tcPr>
            <w:tcW w:w="1998" w:type="dxa"/>
            <w:tcBorders>
              <w:top w:val="nil"/>
              <w:left w:val="nil"/>
              <w:bottom w:val="single" w:sz="4" w:space="0" w:color="auto"/>
              <w:right w:val="nil"/>
            </w:tcBorders>
            <w:shd w:val="clear" w:color="auto" w:fill="auto"/>
            <w:noWrap/>
            <w:vAlign w:val="bottom"/>
            <w:hideMark/>
          </w:tcPr>
          <w:p w14:paraId="33055556"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1.2</w:t>
            </w:r>
          </w:p>
        </w:tc>
        <w:tc>
          <w:tcPr>
            <w:tcW w:w="2693" w:type="dxa"/>
            <w:tcBorders>
              <w:top w:val="nil"/>
              <w:left w:val="nil"/>
              <w:bottom w:val="single" w:sz="4" w:space="0" w:color="auto"/>
              <w:right w:val="nil"/>
            </w:tcBorders>
            <w:shd w:val="clear" w:color="auto" w:fill="auto"/>
            <w:noWrap/>
            <w:vAlign w:val="bottom"/>
            <w:hideMark/>
          </w:tcPr>
          <w:p w14:paraId="6EA7880D"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1.7</w:t>
            </w:r>
          </w:p>
        </w:tc>
      </w:tr>
      <w:tr w:rsidR="0047588F" w:rsidRPr="0047588F" w14:paraId="2DB9BAC2"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2CF29082"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09E9E6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Spergularia canadensis</w:t>
            </w:r>
          </w:p>
        </w:tc>
        <w:tc>
          <w:tcPr>
            <w:tcW w:w="1998" w:type="dxa"/>
            <w:tcBorders>
              <w:top w:val="nil"/>
              <w:left w:val="nil"/>
              <w:bottom w:val="single" w:sz="4" w:space="0" w:color="auto"/>
              <w:right w:val="nil"/>
            </w:tcBorders>
            <w:shd w:val="clear" w:color="auto" w:fill="auto"/>
            <w:noWrap/>
            <w:vAlign w:val="bottom"/>
            <w:hideMark/>
          </w:tcPr>
          <w:p w14:paraId="102F7A5C"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16.0</w:t>
            </w:r>
          </w:p>
        </w:tc>
        <w:tc>
          <w:tcPr>
            <w:tcW w:w="2693" w:type="dxa"/>
            <w:tcBorders>
              <w:top w:val="nil"/>
              <w:left w:val="nil"/>
              <w:bottom w:val="single" w:sz="4" w:space="0" w:color="auto"/>
              <w:right w:val="nil"/>
            </w:tcBorders>
            <w:shd w:val="clear" w:color="auto" w:fill="auto"/>
            <w:noWrap/>
            <w:vAlign w:val="bottom"/>
            <w:hideMark/>
          </w:tcPr>
          <w:p w14:paraId="0875E40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15.2</w:t>
            </w:r>
          </w:p>
        </w:tc>
      </w:tr>
      <w:tr w:rsidR="0047588F" w:rsidRPr="0047588F" w14:paraId="11CBA823"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93E72A0"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7BC04F45"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Symphyotrichum subspicatum</w:t>
            </w:r>
          </w:p>
        </w:tc>
        <w:tc>
          <w:tcPr>
            <w:tcW w:w="1998" w:type="dxa"/>
            <w:tcBorders>
              <w:top w:val="nil"/>
              <w:left w:val="nil"/>
              <w:bottom w:val="single" w:sz="4" w:space="0" w:color="auto"/>
              <w:right w:val="nil"/>
            </w:tcBorders>
            <w:shd w:val="clear" w:color="auto" w:fill="auto"/>
            <w:noWrap/>
            <w:vAlign w:val="bottom"/>
            <w:hideMark/>
          </w:tcPr>
          <w:p w14:paraId="1BAE0088"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3.7</w:t>
            </w:r>
          </w:p>
        </w:tc>
        <w:tc>
          <w:tcPr>
            <w:tcW w:w="2693" w:type="dxa"/>
            <w:tcBorders>
              <w:top w:val="nil"/>
              <w:left w:val="nil"/>
              <w:bottom w:val="single" w:sz="4" w:space="0" w:color="auto"/>
              <w:right w:val="nil"/>
            </w:tcBorders>
            <w:shd w:val="clear" w:color="auto" w:fill="auto"/>
            <w:noWrap/>
            <w:vAlign w:val="bottom"/>
            <w:hideMark/>
          </w:tcPr>
          <w:p w14:paraId="7D571B9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75.1</w:t>
            </w:r>
          </w:p>
        </w:tc>
      </w:tr>
      <w:tr w:rsidR="0047588F" w:rsidRPr="0047588F" w14:paraId="61014037" w14:textId="77777777" w:rsidTr="00327E0E">
        <w:trPr>
          <w:trHeight w:val="288"/>
        </w:trPr>
        <w:tc>
          <w:tcPr>
            <w:tcW w:w="1520" w:type="dxa"/>
            <w:vMerge/>
            <w:tcBorders>
              <w:top w:val="single" w:sz="4" w:space="0" w:color="auto"/>
              <w:left w:val="nil"/>
              <w:bottom w:val="single" w:sz="4" w:space="0" w:color="000000"/>
              <w:right w:val="nil"/>
            </w:tcBorders>
            <w:vAlign w:val="center"/>
            <w:hideMark/>
          </w:tcPr>
          <w:p w14:paraId="4CFE067A" w14:textId="77777777" w:rsidR="0047588F" w:rsidRPr="0047588F" w:rsidRDefault="0047588F" w:rsidP="00FE3842">
            <w:pPr>
              <w:spacing w:after="0" w:line="240" w:lineRule="auto"/>
              <w:rPr>
                <w:rFonts w:ascii="Calibri" w:eastAsia="Times New Roman" w:hAnsi="Calibri" w:cs="Calibri"/>
                <w:color w:val="000000"/>
                <w:lang w:eastAsia="en-CA"/>
              </w:rPr>
            </w:pPr>
          </w:p>
        </w:tc>
        <w:tc>
          <w:tcPr>
            <w:tcW w:w="3428" w:type="dxa"/>
            <w:tcBorders>
              <w:top w:val="nil"/>
              <w:left w:val="nil"/>
              <w:bottom w:val="single" w:sz="4" w:space="0" w:color="auto"/>
              <w:right w:val="nil"/>
            </w:tcBorders>
            <w:shd w:val="clear" w:color="auto" w:fill="auto"/>
            <w:noWrap/>
            <w:vAlign w:val="bottom"/>
            <w:hideMark/>
          </w:tcPr>
          <w:p w14:paraId="484B6643" w14:textId="77777777" w:rsidR="0047588F" w:rsidRPr="0047588F" w:rsidRDefault="0047588F" w:rsidP="00FE3842">
            <w:pPr>
              <w:spacing w:after="0" w:line="240" w:lineRule="auto"/>
              <w:rPr>
                <w:rFonts w:ascii="Calibri" w:eastAsia="Times New Roman" w:hAnsi="Calibri" w:cs="Calibri"/>
                <w:i/>
                <w:iCs/>
                <w:color w:val="000000"/>
                <w:lang w:eastAsia="en-CA"/>
              </w:rPr>
            </w:pPr>
            <w:r w:rsidRPr="0047588F">
              <w:rPr>
                <w:rFonts w:ascii="Calibri" w:eastAsia="Times New Roman" w:hAnsi="Calibri" w:cs="Calibri"/>
                <w:i/>
                <w:iCs/>
                <w:color w:val="000000"/>
                <w:lang w:eastAsia="en-CA"/>
              </w:rPr>
              <w:t>Triglochin maritima</w:t>
            </w:r>
          </w:p>
        </w:tc>
        <w:tc>
          <w:tcPr>
            <w:tcW w:w="1998" w:type="dxa"/>
            <w:tcBorders>
              <w:top w:val="nil"/>
              <w:left w:val="nil"/>
              <w:bottom w:val="single" w:sz="4" w:space="0" w:color="auto"/>
              <w:right w:val="nil"/>
            </w:tcBorders>
            <w:shd w:val="clear" w:color="auto" w:fill="auto"/>
            <w:noWrap/>
            <w:vAlign w:val="bottom"/>
            <w:hideMark/>
          </w:tcPr>
          <w:p w14:paraId="0F9F006B"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2.0</w:t>
            </w:r>
          </w:p>
        </w:tc>
        <w:tc>
          <w:tcPr>
            <w:tcW w:w="2693" w:type="dxa"/>
            <w:tcBorders>
              <w:top w:val="nil"/>
              <w:left w:val="nil"/>
              <w:bottom w:val="single" w:sz="4" w:space="0" w:color="auto"/>
              <w:right w:val="nil"/>
            </w:tcBorders>
            <w:shd w:val="clear" w:color="auto" w:fill="auto"/>
            <w:noWrap/>
            <w:vAlign w:val="bottom"/>
            <w:hideMark/>
          </w:tcPr>
          <w:p w14:paraId="61DFC7CF" w14:textId="77777777" w:rsidR="0047588F" w:rsidRPr="0047588F" w:rsidRDefault="0047588F" w:rsidP="00FE3842">
            <w:pPr>
              <w:spacing w:after="0" w:line="240" w:lineRule="auto"/>
              <w:jc w:val="center"/>
              <w:rPr>
                <w:rFonts w:ascii="Calibri" w:eastAsia="Times New Roman" w:hAnsi="Calibri" w:cs="Calibri"/>
                <w:color w:val="000000"/>
                <w:lang w:eastAsia="en-CA"/>
              </w:rPr>
            </w:pPr>
            <w:r w:rsidRPr="0047588F">
              <w:rPr>
                <w:rFonts w:ascii="Calibri" w:eastAsia="Times New Roman" w:hAnsi="Calibri" w:cs="Calibri"/>
                <w:color w:val="000000"/>
                <w:lang w:eastAsia="en-CA"/>
              </w:rPr>
              <w:t>2.9</w:t>
            </w:r>
          </w:p>
        </w:tc>
      </w:tr>
    </w:tbl>
    <w:p w14:paraId="4D110FEB" w14:textId="77777777" w:rsidR="008F49BA" w:rsidRDefault="008F49BA" w:rsidP="007E7955">
      <w:pPr>
        <w:spacing w:line="480" w:lineRule="auto"/>
      </w:pPr>
    </w:p>
    <w:p w14:paraId="26A00BC5" w14:textId="77777777" w:rsidR="00327E0E" w:rsidRDefault="00327E0E" w:rsidP="007E7955">
      <w:pPr>
        <w:spacing w:line="480" w:lineRule="auto"/>
      </w:pPr>
    </w:p>
    <w:p w14:paraId="701E3E98" w14:textId="77777777" w:rsidR="00327E0E" w:rsidRPr="00327E0E" w:rsidRDefault="00327E0E" w:rsidP="007E7955">
      <w:pPr>
        <w:spacing w:line="480" w:lineRule="auto"/>
        <w:rPr>
          <w:b/>
          <w:bCs/>
        </w:rPr>
      </w:pPr>
    </w:p>
    <w:p w14:paraId="2B57A6F9" w14:textId="1E575267" w:rsidR="008F49BA" w:rsidRDefault="008F49BA" w:rsidP="007E7955">
      <w:pPr>
        <w:spacing w:line="480" w:lineRule="auto"/>
      </w:pPr>
      <w:r w:rsidRPr="00327E0E">
        <w:rPr>
          <w:b/>
          <w:bCs/>
        </w:rPr>
        <w:t>Fig. S1</w:t>
      </w:r>
      <w:r>
        <w:t xml:space="preserve"> </w:t>
      </w:r>
      <w:r w:rsidR="00153838" w:rsidRPr="00153838">
        <w:t xml:space="preserve">Quantile-quantile plot residuals for above-ground vegetation and surface seed bank generalized linear models. </w:t>
      </w:r>
      <w:r>
        <w:br w:type="page"/>
      </w:r>
    </w:p>
    <w:p w14:paraId="192F1CDA" w14:textId="150408FC" w:rsidR="00F82F9E" w:rsidRDefault="00F82F9E" w:rsidP="00FE3842">
      <w:pPr>
        <w:pStyle w:val="Heading1"/>
        <w:numPr>
          <w:ilvl w:val="0"/>
          <w:numId w:val="0"/>
        </w:numPr>
        <w:spacing w:line="480" w:lineRule="auto"/>
        <w:ind w:left="432" w:hanging="432"/>
      </w:pPr>
      <w:r>
        <w:lastRenderedPageBreak/>
        <w:t>Statements &amp; Declarations</w:t>
      </w:r>
    </w:p>
    <w:p w14:paraId="6D6293BE" w14:textId="77777777" w:rsidR="00F82F9E" w:rsidRDefault="00F82F9E" w:rsidP="007E7955">
      <w:pPr>
        <w:pStyle w:val="Heading2"/>
        <w:numPr>
          <w:ilvl w:val="0"/>
          <w:numId w:val="0"/>
        </w:numPr>
        <w:spacing w:line="480" w:lineRule="auto"/>
        <w:ind w:left="576" w:hanging="576"/>
      </w:pPr>
      <w:r>
        <w:t>Competing interests</w:t>
      </w:r>
    </w:p>
    <w:p w14:paraId="79CAC8EB" w14:textId="77777777" w:rsidR="00F82F9E" w:rsidRPr="001760FB" w:rsidRDefault="00F82F9E" w:rsidP="007E7955">
      <w:pPr>
        <w:spacing w:line="480" w:lineRule="auto"/>
        <w:rPr>
          <w:i/>
        </w:rPr>
      </w:pPr>
      <w:r w:rsidRPr="001760FB">
        <w:rPr>
          <w:rStyle w:val="Emphasis"/>
        </w:rPr>
        <w:t>The authors have no relevant financial or non-financial interests to disclose.</w:t>
      </w:r>
    </w:p>
    <w:p w14:paraId="738AEAF6" w14:textId="77777777" w:rsidR="00F82F9E" w:rsidRDefault="00F82F9E" w:rsidP="007E7955">
      <w:pPr>
        <w:pStyle w:val="Heading2"/>
        <w:numPr>
          <w:ilvl w:val="0"/>
          <w:numId w:val="0"/>
        </w:numPr>
        <w:spacing w:line="480" w:lineRule="auto"/>
        <w:ind w:left="576" w:hanging="576"/>
      </w:pPr>
      <w:r>
        <w:t>Author contributions</w:t>
      </w:r>
    </w:p>
    <w:p w14:paraId="3364C87E" w14:textId="65CFA469" w:rsidR="00F82F9E" w:rsidRDefault="00F82F9E" w:rsidP="007E7955">
      <w:pPr>
        <w:spacing w:line="480" w:lineRule="auto"/>
      </w:pPr>
      <w:r>
        <w:t xml:space="preserve">Study conception, </w:t>
      </w:r>
      <w:r w:rsidR="0016418A">
        <w:t>2021</w:t>
      </w:r>
      <w:r>
        <w:t xml:space="preserve"> data collection, analysis, and interpretation were undertaken by Stefanie L. Lane. Nancy Shackelford assisted with</w:t>
      </w:r>
      <w:r w:rsidR="00B76BE2">
        <w:t xml:space="preserve"> ecological</w:t>
      </w:r>
      <w:r>
        <w:t xml:space="preserve"> theoretical framework</w:t>
      </w:r>
      <w:r w:rsidR="00B76BE2">
        <w:t xml:space="preserve">; </w:t>
      </w:r>
      <w:r w:rsidR="005F07C6">
        <w:t xml:space="preserve">Tara G. Martin </w:t>
      </w:r>
      <w:r w:rsidR="008148E6">
        <w:t xml:space="preserve">assisted with cultural framework. </w:t>
      </w:r>
      <w:r>
        <w:t xml:space="preserve">Manuscript was drafted by Stefanie L. Lane; Nancy Shackelford, and Tara G. Martin </w:t>
      </w:r>
      <w:r w:rsidR="00654EFB">
        <w:t>edited</w:t>
      </w:r>
      <w:r>
        <w:t xml:space="preserve"> draft versions of this manuscript. All authors read and approved the final manuscript. </w:t>
      </w:r>
    </w:p>
    <w:p w14:paraId="3C6C5D9E" w14:textId="77777777" w:rsidR="00F82F9E" w:rsidRPr="00694C2C" w:rsidRDefault="00F82F9E" w:rsidP="007E7955">
      <w:pPr>
        <w:pStyle w:val="Heading2"/>
        <w:numPr>
          <w:ilvl w:val="0"/>
          <w:numId w:val="0"/>
        </w:numPr>
        <w:spacing w:line="480" w:lineRule="auto"/>
        <w:ind w:left="576" w:hanging="576"/>
      </w:pPr>
      <w:r>
        <w:t>Data availability</w:t>
      </w:r>
    </w:p>
    <w:p w14:paraId="106CC2C1" w14:textId="69118F5C" w:rsidR="00045B40" w:rsidRDefault="00F82F9E" w:rsidP="007E7955">
      <w:pPr>
        <w:spacing w:line="480" w:lineRule="auto"/>
      </w:pPr>
      <w:r>
        <w:t>Data and code for all years of observation are available on GitHub (</w:t>
      </w:r>
      <w:r w:rsidR="00E92A33" w:rsidRPr="00E92A33">
        <w:t>https://github.com/stefanielane/HabitatRecovery</w:t>
      </w:r>
      <w:r>
        <w:t>)</w:t>
      </w:r>
      <w:r w:rsidR="008D77E6">
        <w:t>.</w:t>
      </w:r>
    </w:p>
    <w:sectPr w:rsidR="00045B40" w:rsidSect="000553D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DCB"/>
    <w:multiLevelType w:val="multilevel"/>
    <w:tmpl w:val="B1B4C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8631A5"/>
    <w:multiLevelType w:val="hybridMultilevel"/>
    <w:tmpl w:val="1436D5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D0522D"/>
    <w:multiLevelType w:val="multilevel"/>
    <w:tmpl w:val="E4CC17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3999648">
    <w:abstractNumId w:val="2"/>
  </w:num>
  <w:num w:numId="2" w16cid:durableId="1999766967">
    <w:abstractNumId w:val="0"/>
  </w:num>
  <w:num w:numId="3" w16cid:durableId="930163350">
    <w:abstractNumId w:val="1"/>
  </w:num>
  <w:num w:numId="4" w16cid:durableId="868646329">
    <w:abstractNumId w:val="0"/>
  </w:num>
  <w:num w:numId="5" w16cid:durableId="1908765454">
    <w:abstractNumId w:val="0"/>
  </w:num>
  <w:num w:numId="6" w16cid:durableId="262033966">
    <w:abstractNumId w:val="0"/>
  </w:num>
  <w:num w:numId="7" w16cid:durableId="212430772">
    <w:abstractNumId w:val="0"/>
  </w:num>
  <w:num w:numId="8" w16cid:durableId="451680290">
    <w:abstractNumId w:val="0"/>
  </w:num>
  <w:num w:numId="9" w16cid:durableId="1160579310">
    <w:abstractNumId w:val="0"/>
  </w:num>
  <w:num w:numId="10" w16cid:durableId="1356417476">
    <w:abstractNumId w:val="0"/>
  </w:num>
  <w:num w:numId="11" w16cid:durableId="1522624074">
    <w:abstractNumId w:val="0"/>
  </w:num>
  <w:num w:numId="12" w16cid:durableId="1701857718">
    <w:abstractNumId w:val="0"/>
  </w:num>
  <w:num w:numId="13" w16cid:durableId="1922446724">
    <w:abstractNumId w:val="0"/>
  </w:num>
  <w:num w:numId="14" w16cid:durableId="1894850392">
    <w:abstractNumId w:val="0"/>
  </w:num>
  <w:num w:numId="15" w16cid:durableId="1468738546">
    <w:abstractNumId w:val="0"/>
  </w:num>
  <w:num w:numId="16" w16cid:durableId="46381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40"/>
    <w:rsid w:val="0002624E"/>
    <w:rsid w:val="00042CC9"/>
    <w:rsid w:val="000449A7"/>
    <w:rsid w:val="00045B40"/>
    <w:rsid w:val="000553D8"/>
    <w:rsid w:val="000A3E25"/>
    <w:rsid w:val="00134487"/>
    <w:rsid w:val="0014512A"/>
    <w:rsid w:val="00153838"/>
    <w:rsid w:val="0016418A"/>
    <w:rsid w:val="001729E5"/>
    <w:rsid w:val="00197CEA"/>
    <w:rsid w:val="00257DF2"/>
    <w:rsid w:val="00266D07"/>
    <w:rsid w:val="00281088"/>
    <w:rsid w:val="002878B3"/>
    <w:rsid w:val="00294239"/>
    <w:rsid w:val="00302BFE"/>
    <w:rsid w:val="003046AD"/>
    <w:rsid w:val="00325068"/>
    <w:rsid w:val="00327E0E"/>
    <w:rsid w:val="003453FC"/>
    <w:rsid w:val="0034617E"/>
    <w:rsid w:val="00360315"/>
    <w:rsid w:val="00370E08"/>
    <w:rsid w:val="0038151F"/>
    <w:rsid w:val="003A21A9"/>
    <w:rsid w:val="003A2B81"/>
    <w:rsid w:val="003B6029"/>
    <w:rsid w:val="003C73F2"/>
    <w:rsid w:val="003D54CB"/>
    <w:rsid w:val="00406ED8"/>
    <w:rsid w:val="00450EB6"/>
    <w:rsid w:val="00471D65"/>
    <w:rsid w:val="0047588F"/>
    <w:rsid w:val="004C676A"/>
    <w:rsid w:val="004F280B"/>
    <w:rsid w:val="0052049E"/>
    <w:rsid w:val="00521644"/>
    <w:rsid w:val="00530D56"/>
    <w:rsid w:val="00566398"/>
    <w:rsid w:val="00567B66"/>
    <w:rsid w:val="0058186D"/>
    <w:rsid w:val="00584079"/>
    <w:rsid w:val="00584D44"/>
    <w:rsid w:val="00585C30"/>
    <w:rsid w:val="005962DE"/>
    <w:rsid w:val="005B7D3A"/>
    <w:rsid w:val="005D4140"/>
    <w:rsid w:val="005E00C8"/>
    <w:rsid w:val="005E3C3C"/>
    <w:rsid w:val="005F07C6"/>
    <w:rsid w:val="00604913"/>
    <w:rsid w:val="00605ED0"/>
    <w:rsid w:val="00613E24"/>
    <w:rsid w:val="006331EC"/>
    <w:rsid w:val="00654EFB"/>
    <w:rsid w:val="0066644D"/>
    <w:rsid w:val="006E2432"/>
    <w:rsid w:val="006F11CD"/>
    <w:rsid w:val="00714C99"/>
    <w:rsid w:val="007222C6"/>
    <w:rsid w:val="00747983"/>
    <w:rsid w:val="0075075A"/>
    <w:rsid w:val="00764989"/>
    <w:rsid w:val="007B1351"/>
    <w:rsid w:val="007B1A48"/>
    <w:rsid w:val="007D59E5"/>
    <w:rsid w:val="007D59F4"/>
    <w:rsid w:val="007E7955"/>
    <w:rsid w:val="007F2331"/>
    <w:rsid w:val="008148E6"/>
    <w:rsid w:val="00822C06"/>
    <w:rsid w:val="008503D9"/>
    <w:rsid w:val="008A798F"/>
    <w:rsid w:val="008C0981"/>
    <w:rsid w:val="008D159A"/>
    <w:rsid w:val="008D77E6"/>
    <w:rsid w:val="008E0076"/>
    <w:rsid w:val="008E3500"/>
    <w:rsid w:val="008E5DA2"/>
    <w:rsid w:val="008E7468"/>
    <w:rsid w:val="008F49BA"/>
    <w:rsid w:val="0099062D"/>
    <w:rsid w:val="009C3A77"/>
    <w:rsid w:val="009F4DAD"/>
    <w:rsid w:val="009F6C5D"/>
    <w:rsid w:val="00A14FFB"/>
    <w:rsid w:val="00A55141"/>
    <w:rsid w:val="00A61D33"/>
    <w:rsid w:val="00AA6383"/>
    <w:rsid w:val="00AE25E5"/>
    <w:rsid w:val="00AF0B27"/>
    <w:rsid w:val="00AF7865"/>
    <w:rsid w:val="00B21DD5"/>
    <w:rsid w:val="00B76BE2"/>
    <w:rsid w:val="00BA4800"/>
    <w:rsid w:val="00C237B3"/>
    <w:rsid w:val="00C53252"/>
    <w:rsid w:val="00C92C12"/>
    <w:rsid w:val="00CB3CA0"/>
    <w:rsid w:val="00CE22F6"/>
    <w:rsid w:val="00CE27E3"/>
    <w:rsid w:val="00CF12FB"/>
    <w:rsid w:val="00D1040E"/>
    <w:rsid w:val="00D45FFA"/>
    <w:rsid w:val="00D468A6"/>
    <w:rsid w:val="00D5344B"/>
    <w:rsid w:val="00D711EF"/>
    <w:rsid w:val="00DB3820"/>
    <w:rsid w:val="00DB65AE"/>
    <w:rsid w:val="00DD34FC"/>
    <w:rsid w:val="00DF1367"/>
    <w:rsid w:val="00DF3121"/>
    <w:rsid w:val="00E165A4"/>
    <w:rsid w:val="00E3033B"/>
    <w:rsid w:val="00E64DBE"/>
    <w:rsid w:val="00E9232B"/>
    <w:rsid w:val="00E92A33"/>
    <w:rsid w:val="00EB1846"/>
    <w:rsid w:val="00EC3825"/>
    <w:rsid w:val="00ED7D62"/>
    <w:rsid w:val="00F13138"/>
    <w:rsid w:val="00F443AC"/>
    <w:rsid w:val="00F671AC"/>
    <w:rsid w:val="00F82F9E"/>
    <w:rsid w:val="00F836C6"/>
    <w:rsid w:val="00F83FA6"/>
    <w:rsid w:val="00F940DB"/>
    <w:rsid w:val="00FE38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271F"/>
  <w15:chartTrackingRefBased/>
  <w15:docId w15:val="{EF9F46D6-FF81-4369-BD58-AEF30C26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F2"/>
  </w:style>
  <w:style w:type="paragraph" w:styleId="Heading1">
    <w:name w:val="heading 1"/>
    <w:basedOn w:val="Normal"/>
    <w:next w:val="Normal"/>
    <w:link w:val="Heading1Char"/>
    <w:uiPriority w:val="9"/>
    <w:qFormat/>
    <w:rsid w:val="00257DF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DF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DF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DF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7DF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7DF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7DF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7D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D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D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7D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57D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7D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7D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7D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DF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DF2"/>
    <w:pPr>
      <w:ind w:left="720"/>
      <w:contextualSpacing/>
    </w:pPr>
  </w:style>
  <w:style w:type="character" w:styleId="CommentReference">
    <w:name w:val="annotation reference"/>
    <w:basedOn w:val="DefaultParagraphFont"/>
    <w:uiPriority w:val="99"/>
    <w:semiHidden/>
    <w:unhideWhenUsed/>
    <w:rsid w:val="00257DF2"/>
    <w:rPr>
      <w:sz w:val="16"/>
      <w:szCs w:val="16"/>
    </w:rPr>
  </w:style>
  <w:style w:type="paragraph" w:styleId="CommentText">
    <w:name w:val="annotation text"/>
    <w:basedOn w:val="Normal"/>
    <w:link w:val="CommentTextChar"/>
    <w:uiPriority w:val="99"/>
    <w:unhideWhenUsed/>
    <w:rsid w:val="00257DF2"/>
    <w:pPr>
      <w:spacing w:line="240" w:lineRule="auto"/>
    </w:pPr>
    <w:rPr>
      <w:sz w:val="20"/>
      <w:szCs w:val="20"/>
    </w:rPr>
  </w:style>
  <w:style w:type="character" w:customStyle="1" w:styleId="CommentTextChar">
    <w:name w:val="Comment Text Char"/>
    <w:basedOn w:val="DefaultParagraphFont"/>
    <w:link w:val="CommentText"/>
    <w:uiPriority w:val="99"/>
    <w:rsid w:val="00257DF2"/>
    <w:rPr>
      <w:sz w:val="20"/>
      <w:szCs w:val="20"/>
    </w:rPr>
  </w:style>
  <w:style w:type="paragraph" w:styleId="Caption">
    <w:name w:val="caption"/>
    <w:basedOn w:val="Normal"/>
    <w:next w:val="Normal"/>
    <w:uiPriority w:val="35"/>
    <w:unhideWhenUsed/>
    <w:qFormat/>
    <w:rsid w:val="00257DF2"/>
    <w:pPr>
      <w:spacing w:after="200" w:line="240" w:lineRule="auto"/>
    </w:pPr>
    <w:rPr>
      <w:i/>
      <w:iCs/>
      <w:color w:val="44546A" w:themeColor="text2"/>
      <w:kern w:val="0"/>
      <w:sz w:val="18"/>
      <w:szCs w:val="18"/>
      <w:lang w:val="en-US"/>
      <w14:ligatures w14:val="none"/>
    </w:rPr>
  </w:style>
  <w:style w:type="character" w:styleId="Hyperlink">
    <w:name w:val="Hyperlink"/>
    <w:basedOn w:val="DefaultParagraphFont"/>
    <w:uiPriority w:val="99"/>
    <w:unhideWhenUsed/>
    <w:rsid w:val="00F13138"/>
    <w:rPr>
      <w:color w:val="0563C1" w:themeColor="hyperlink"/>
      <w:u w:val="single"/>
    </w:rPr>
  </w:style>
  <w:style w:type="paragraph" w:styleId="NoSpacing">
    <w:name w:val="No Spacing"/>
    <w:uiPriority w:val="1"/>
    <w:qFormat/>
    <w:rsid w:val="00F13138"/>
    <w:pPr>
      <w:spacing w:after="0" w:line="240" w:lineRule="auto"/>
    </w:pPr>
    <w:rPr>
      <w:kern w:val="0"/>
      <w:lang w:val="en-US"/>
      <w14:ligatures w14:val="none"/>
    </w:rPr>
  </w:style>
  <w:style w:type="character" w:styleId="Emphasis">
    <w:name w:val="Emphasis"/>
    <w:basedOn w:val="DefaultParagraphFont"/>
    <w:uiPriority w:val="20"/>
    <w:qFormat/>
    <w:rsid w:val="00F82F9E"/>
    <w:rPr>
      <w:i/>
      <w:iCs/>
    </w:rPr>
  </w:style>
  <w:style w:type="character" w:styleId="LineNumber">
    <w:name w:val="line number"/>
    <w:basedOn w:val="DefaultParagraphFont"/>
    <w:uiPriority w:val="99"/>
    <w:semiHidden/>
    <w:unhideWhenUsed/>
    <w:rsid w:val="000553D8"/>
  </w:style>
  <w:style w:type="character" w:styleId="UnresolvedMention">
    <w:name w:val="Unresolved Mention"/>
    <w:basedOn w:val="DefaultParagraphFont"/>
    <w:uiPriority w:val="99"/>
    <w:semiHidden/>
    <w:unhideWhenUsed/>
    <w:rsid w:val="005962DE"/>
    <w:rPr>
      <w:color w:val="605E5C"/>
      <w:shd w:val="clear" w:color="auto" w:fill="E1DFDD"/>
    </w:rPr>
  </w:style>
  <w:style w:type="paragraph" w:styleId="Bibliography">
    <w:name w:val="Bibliography"/>
    <w:basedOn w:val="Normal"/>
    <w:next w:val="Normal"/>
    <w:uiPriority w:val="37"/>
    <w:unhideWhenUsed/>
    <w:rsid w:val="00CE27E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7165-9812" TargetMode="External"/><Relationship Id="rId3" Type="http://schemas.openxmlformats.org/officeDocument/2006/relationships/settings" Target="settings.xml"/><Relationship Id="rId7" Type="http://schemas.openxmlformats.org/officeDocument/2006/relationships/hyperlink" Target="https://orcid.org/0000-0003-4817-04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4851-2772" TargetMode="External"/><Relationship Id="rId5" Type="http://schemas.openxmlformats.org/officeDocument/2006/relationships/hyperlink" Target="mailto:stefanielan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31</Pages>
  <Words>7873</Words>
  <Characters>44881</Characters>
  <Application>Microsoft Office Word</Application>
  <DocSecurity>0</DocSecurity>
  <Lines>374</Lines>
  <Paragraphs>105</Paragraphs>
  <ScaleCrop>false</ScaleCrop>
  <Company/>
  <LinksUpToDate>false</LinksUpToDate>
  <CharactersWithSpaces>52649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Stefanie</dc:creator>
  <cp:keywords/>
  <dc:description/>
  <cp:lastModifiedBy>Lane, Stefanie</cp:lastModifiedBy>
  <cp:revision>130</cp:revision>
  <dcterms:created xsi:type="dcterms:W3CDTF">2023-09-07T19:38:00Z</dcterms:created>
  <dcterms:modified xsi:type="dcterms:W3CDTF">2023-11-06T22:04:00Z</dcterms:modified>
</cp:coreProperties>
</file>