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D6BB" w14:textId="7BF91736" w:rsidR="008D6161" w:rsidRPr="002166CF" w:rsidRDefault="002D4E49" w:rsidP="002166CF">
      <w:pPr>
        <w:tabs>
          <w:tab w:val="num" w:pos="720"/>
        </w:tabs>
        <w:spacing w:line="216" w:lineRule="auto"/>
      </w:pPr>
      <w:bookmarkStart w:id="0" w:name="_Hlk97194042"/>
      <w:r>
        <w:t xml:space="preserve">Natural disturbance and </w:t>
      </w:r>
      <w:r w:rsidR="00FE6E9C">
        <w:t>intermediate disturbance hypothesis</w:t>
      </w:r>
    </w:p>
    <w:p w14:paraId="40CF6738" w14:textId="6A02E456" w:rsidR="006641C7" w:rsidRDefault="006641C7" w:rsidP="00A25EA2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many plant </w:t>
      </w:r>
      <w:r w:rsidR="00B879F5">
        <w:rPr>
          <w:rFonts w:asciiTheme="minorHAnsi" w:hAnsiTheme="minorHAnsi" w:cstheme="minorHAnsi"/>
          <w:sz w:val="22"/>
          <w:szCs w:val="22"/>
        </w:rPr>
        <w:t>communities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E37EF2">
        <w:rPr>
          <w:rFonts w:asciiTheme="minorHAnsi" w:hAnsiTheme="minorHAnsi" w:cstheme="minorHAnsi"/>
          <w:sz w:val="22"/>
          <w:szCs w:val="22"/>
        </w:rPr>
        <w:t>natural disturbance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879F5">
        <w:rPr>
          <w:rFonts w:asciiTheme="minorHAnsi" w:hAnsiTheme="minorHAnsi" w:cstheme="minorHAnsi"/>
          <w:sz w:val="22"/>
          <w:szCs w:val="22"/>
        </w:rPr>
        <w:t xml:space="preserve">supports niche apportionment/successional dynamics (e.g., forest gap dynamics, fire disturbed landscapes, etc.). </w:t>
      </w:r>
    </w:p>
    <w:p w14:paraId="00586064" w14:textId="751052F9" w:rsidR="00A841A6" w:rsidRPr="00EC0935" w:rsidRDefault="00A25EA2" w:rsidP="00A25EA2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However, </w:t>
      </w:r>
      <w:bookmarkStart w:id="1" w:name="_Hlk97057495"/>
      <w:r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</w:t>
      </w:r>
      <w:r w:rsidR="00A841A6">
        <w:rPr>
          <w:rFonts w:asciiTheme="minorHAnsi" w:hAnsiTheme="minorHAnsi" w:cstheme="minorHAnsi"/>
          <w:sz w:val="22"/>
          <w:szCs w:val="22"/>
        </w:rPr>
        <w:t xml:space="preserve">agnitude and/or duration of disturbance </w:t>
      </w:r>
      <w:r w:rsidR="00EC0935">
        <w:rPr>
          <w:rFonts w:asciiTheme="minorHAnsi" w:hAnsiTheme="minorHAnsi" w:cstheme="minorHAnsi"/>
          <w:sz w:val="22"/>
          <w:szCs w:val="22"/>
        </w:rPr>
        <w:t xml:space="preserve">may destabilize communities, bringing about an alternative stable state. </w:t>
      </w:r>
      <w:bookmarkEnd w:id="1"/>
    </w:p>
    <w:p w14:paraId="5F912AA6" w14:textId="703C8B5C" w:rsidR="00E457B4" w:rsidRPr="002D4E49" w:rsidRDefault="00A25EA2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In estuaries, s</w:t>
      </w:r>
      <w:r w:rsidR="00EC093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uccessional c</w:t>
      </w:r>
      <w:r w:rsidR="00E457B4"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ompositional structure may include very short ground covering plants, and taller canopy-forming </w:t>
      </w:r>
      <w:r w:rsidR="00452E94"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graminoids.</w:t>
      </w:r>
      <w:r w:rsidR="00E457B4"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</w:t>
      </w:r>
    </w:p>
    <w:p w14:paraId="15B74184" w14:textId="7ED5C792" w:rsidR="002D4E49" w:rsidRPr="002C0216" w:rsidRDefault="002D4E49" w:rsidP="002D4E49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Grazing as a form of natural disturbance</w:t>
      </w:r>
    </w:p>
    <w:p w14:paraId="2CF6E315" w14:textId="44BA27D2" w:rsidR="000C6A30" w:rsidRDefault="00EC0935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Grazing disturbance in many ecosystems; degree of disturbance related to herbivore population size. </w:t>
      </w:r>
    </w:p>
    <w:p w14:paraId="349678DC" w14:textId="60CCBCB0" w:rsidR="00EC0935" w:rsidRDefault="00EC0935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Goose grazing in estuaries is natural,</w:t>
      </w:r>
      <w:bookmarkStart w:id="2" w:name="_Hlk97057557"/>
      <w:r>
        <w:rPr>
          <w:rFonts w:asciiTheme="minorHAnsi" w:hAnsiTheme="minorHAnsi" w:cstheme="minorHAnsi"/>
          <w:sz w:val="22"/>
          <w:szCs w:val="22"/>
        </w:rPr>
        <w:t xml:space="preserve"> although in the PNW </w:t>
      </w:r>
      <w:r w:rsidR="00E90CEE">
        <w:rPr>
          <w:rFonts w:asciiTheme="minorHAnsi" w:hAnsiTheme="minorHAnsi" w:cstheme="minorHAnsi"/>
          <w:sz w:val="22"/>
          <w:szCs w:val="22"/>
        </w:rPr>
        <w:t xml:space="preserve">may be exacerbated by introduced populations of </w:t>
      </w:r>
      <w:bookmarkEnd w:id="2"/>
      <w:r w:rsidR="008740DD">
        <w:rPr>
          <w:rFonts w:asciiTheme="minorHAnsi" w:hAnsiTheme="minorHAnsi" w:cstheme="minorHAnsi"/>
          <w:sz w:val="22"/>
          <w:szCs w:val="22"/>
        </w:rPr>
        <w:t>Canada geese (</w:t>
      </w:r>
      <w:proofErr w:type="spellStart"/>
      <w:r w:rsidR="008740DD">
        <w:rPr>
          <w:rFonts w:asciiTheme="minorHAnsi" w:hAnsiTheme="minorHAnsi" w:cstheme="minorHAnsi"/>
          <w:i/>
          <w:sz w:val="22"/>
          <w:szCs w:val="22"/>
        </w:rPr>
        <w:t>Branta</w:t>
      </w:r>
      <w:proofErr w:type="spellEnd"/>
      <w:r w:rsidR="008740DD">
        <w:rPr>
          <w:rFonts w:asciiTheme="minorHAnsi" w:hAnsiTheme="minorHAnsi" w:cstheme="minorHAnsi"/>
          <w:i/>
          <w:sz w:val="22"/>
          <w:szCs w:val="22"/>
        </w:rPr>
        <w:t xml:space="preserve"> canadensis</w:t>
      </w:r>
      <w:r w:rsidR="008740DD">
        <w:rPr>
          <w:rFonts w:asciiTheme="minorHAnsi" w:hAnsiTheme="minorHAnsi" w:cstheme="minorHAnsi"/>
          <w:sz w:val="22"/>
          <w:szCs w:val="22"/>
        </w:rPr>
        <w:t>, “CAGO”)</w:t>
      </w:r>
    </w:p>
    <w:p w14:paraId="67275CFB" w14:textId="1467B6A9" w:rsidR="00632174" w:rsidRPr="000C6A30" w:rsidRDefault="0063217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Define grazing vs. grubbing, and seasonal patterns of this behavior. </w:t>
      </w:r>
    </w:p>
    <w:p w14:paraId="5F1DFFBD" w14:textId="14055E14" w:rsidR="00E457B4" w:rsidRPr="009105F1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Following intensive grazing/grubbing, graminoid habitat (densely covered by tall perennials with deep, rhizomatous roots) is converted to mudflat, populated by ruderal species (densely covered by short annuals with shallow, filamentous roots). </w:t>
      </w:r>
    </w:p>
    <w:p w14:paraId="1CE8E2E8" w14:textId="662D519F" w:rsidR="009105F1" w:rsidRDefault="009105F1" w:rsidP="009105F1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Recovery over time is possible if geese are excluded, and </w:t>
      </w:r>
      <w:r w:rsidR="000C0343">
        <w:rPr>
          <w:rFonts w:asciiTheme="minorHAnsi" w:hAnsiTheme="minorHAnsi" w:cstheme="minorHAnsi"/>
          <w:sz w:val="22"/>
          <w:szCs w:val="22"/>
        </w:rPr>
        <w:t xml:space="preserve">vegetation is allowed to recover from clonal expansion and/or seed. </w:t>
      </w:r>
    </w:p>
    <w:p w14:paraId="73A11C3F" w14:textId="1A553C14" w:rsidR="008F0AB8" w:rsidRDefault="008F0AB8" w:rsidP="009105F1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These recovery mechanisms are dependent on vegetation dynamics</w:t>
      </w:r>
    </w:p>
    <w:p w14:paraId="031BBF1D" w14:textId="77777777" w:rsidR="008860EF" w:rsidRDefault="008860EF" w:rsidP="008860EF">
      <w:pPr>
        <w:spacing w:line="216" w:lineRule="auto"/>
        <w:rPr>
          <w:rFonts w:cstheme="minorHAnsi"/>
        </w:rPr>
      </w:pPr>
    </w:p>
    <w:p w14:paraId="5C193F2D" w14:textId="7D2FC368" w:rsidR="008860EF" w:rsidRPr="008860EF" w:rsidRDefault="008860EF" w:rsidP="008860EF">
      <w:pPr>
        <w:spacing w:line="216" w:lineRule="auto"/>
        <w:rPr>
          <w:rFonts w:cstheme="minorHAnsi"/>
        </w:rPr>
      </w:pPr>
      <w:r>
        <w:rPr>
          <w:rFonts w:cstheme="minorHAnsi"/>
        </w:rPr>
        <w:t xml:space="preserve">Vegetation </w:t>
      </w:r>
      <w:r w:rsidR="009518A2">
        <w:rPr>
          <w:rFonts w:cstheme="minorHAnsi"/>
        </w:rPr>
        <w:t xml:space="preserve">dynamics, and </w:t>
      </w:r>
      <w:r>
        <w:rPr>
          <w:rFonts w:cstheme="minorHAnsi"/>
        </w:rPr>
        <w:t>facilitation of seed trapping and retention</w:t>
      </w:r>
    </w:p>
    <w:p w14:paraId="2D55B1AE" w14:textId="2C68748E" w:rsidR="00E457B4" w:rsidRPr="002C0216" w:rsidRDefault="00E457B4" w:rsidP="00E457B4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Above-ground vegetation facilitates seed trapping. </w:t>
      </w:r>
    </w:p>
    <w:p w14:paraId="4B8E1A0E" w14:textId="77777777" w:rsidR="00E457B4" w:rsidRPr="002C0216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General information about seed bank retention: </w:t>
      </w:r>
    </w:p>
    <w:p w14:paraId="258A6D9E" w14:textId="5A7F706F" w:rsidR="00E457B4" w:rsidRPr="008860EF" w:rsidRDefault="00E457B4" w:rsidP="00E457B4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Vegetation density/complexity facilitating seed trapping</w:t>
      </w:r>
    </w:p>
    <w:p w14:paraId="6609354E" w14:textId="4CD558E6" w:rsidR="008860EF" w:rsidRPr="002C0216" w:rsidRDefault="008860EF" w:rsidP="008860EF">
      <w:pPr>
        <w:pStyle w:val="ListParagraph"/>
        <w:numPr>
          <w:ilvl w:val="3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‘</w:t>
      </w:r>
      <w:commentRangeStart w:id="3"/>
      <w:r>
        <w:rPr>
          <w:rFonts w:asciiTheme="minorHAnsi" w:hAnsiTheme="minorHAnsi" w:cstheme="minorHAnsi"/>
          <w:sz w:val="22"/>
          <w:szCs w:val="22"/>
        </w:rPr>
        <w:t xml:space="preserve">structural </w:t>
      </w:r>
      <w:commentRangeEnd w:id="3"/>
      <w:r w:rsidR="0058037D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AC6ACD">
        <w:rPr>
          <w:rFonts w:asciiTheme="minorHAnsi" w:hAnsiTheme="minorHAnsi" w:cstheme="minorHAnsi"/>
          <w:sz w:val="22"/>
          <w:szCs w:val="22"/>
        </w:rPr>
        <w:t>traits</w:t>
      </w:r>
      <w:r>
        <w:rPr>
          <w:rFonts w:asciiTheme="minorHAnsi" w:hAnsiTheme="minorHAnsi" w:cstheme="minorHAnsi"/>
          <w:sz w:val="22"/>
          <w:szCs w:val="22"/>
        </w:rPr>
        <w:t xml:space="preserve">’ – pay attention to cover, height, </w:t>
      </w:r>
      <w:r w:rsidR="00695E07">
        <w:rPr>
          <w:rFonts w:asciiTheme="minorHAnsi" w:hAnsiTheme="minorHAnsi" w:cstheme="minorHAnsi"/>
          <w:sz w:val="22"/>
          <w:szCs w:val="22"/>
        </w:rPr>
        <w:t xml:space="preserve">life history strategies. </w:t>
      </w:r>
    </w:p>
    <w:p w14:paraId="4A9C1AC4" w14:textId="0EB64F58" w:rsidR="00E457B4" w:rsidRPr="002C0216" w:rsidRDefault="00E457B4" w:rsidP="00E457B4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Site structural </w:t>
      </w:r>
      <w:r w:rsidR="00EB5C5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complexity</w:t>
      </w: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drives grounding of intertidal hydrochorous dispersal</w:t>
      </w:r>
    </w:p>
    <w:p w14:paraId="61BBBF45" w14:textId="77777777" w:rsidR="00E457B4" w:rsidRPr="002C0216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General info about seed production in estuaries</w:t>
      </w:r>
    </w:p>
    <w:p w14:paraId="7AA5B3BF" w14:textId="77777777" w:rsidR="00E457B4" w:rsidRPr="002C0216" w:rsidRDefault="00E457B4" w:rsidP="00E457B4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How often do plants of different groups produce seed (compared to vegetative clonal growth)</w:t>
      </w:r>
    </w:p>
    <w:p w14:paraId="41EDA5FD" w14:textId="0B956B08" w:rsidR="00E457B4" w:rsidRPr="002C0216" w:rsidRDefault="00E457B4" w:rsidP="00E457B4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goose grazing can increase seed production of grazed plants (</w:t>
      </w: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highlight w:val="yellow"/>
        </w:rPr>
        <w:t>citation</w:t>
      </w:r>
      <w:r w:rsidR="00740A7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highlight w:val="yellow"/>
        </w:rPr>
        <w:t xml:space="preserve"> in press or </w:t>
      </w:r>
      <w:proofErr w:type="spellStart"/>
      <w:r w:rsidR="00740A7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highlight w:val="yellow"/>
        </w:rPr>
        <w:t>Kathey</w:t>
      </w:r>
      <w:proofErr w:type="spellEnd"/>
      <w:r w:rsidR="00740A75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highlight w:val="yellow"/>
        </w:rPr>
        <w:t xml:space="preserve"> Kelsey, personal comm.?</w:t>
      </w: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)</w:t>
      </w:r>
    </w:p>
    <w:p w14:paraId="5505C1A3" w14:textId="6685A1EF" w:rsidR="00E457B4" w:rsidRPr="00F944D7" w:rsidRDefault="00E457B4" w:rsidP="000532CD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However, testing seed bank richness and abundance across different disturbance conditions and seasons has not been tested</w:t>
      </w:r>
      <w:r w:rsidR="000532C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in Pacific Northwest estuaries</w:t>
      </w: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. This is important to understand</w:t>
      </w:r>
      <w:r w:rsidR="00FE6E9C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potential</w:t>
      </w: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availability of native seed in the seed bank to regenerate following disturbance, or to identify potential pathways for invasive species to establish. </w:t>
      </w:r>
    </w:p>
    <w:p w14:paraId="1390F9BC" w14:textId="77777777" w:rsidR="00F944D7" w:rsidRDefault="00F944D7" w:rsidP="00F944D7">
      <w:pPr>
        <w:spacing w:line="216" w:lineRule="auto"/>
        <w:rPr>
          <w:rFonts w:cstheme="minorHAnsi"/>
        </w:rPr>
      </w:pPr>
    </w:p>
    <w:p w14:paraId="78FCF604" w14:textId="5C249AA7" w:rsidR="00F944D7" w:rsidRPr="00F944D7" w:rsidRDefault="00EA02A7" w:rsidP="00F944D7">
      <w:pPr>
        <w:spacing w:line="216" w:lineRule="auto"/>
        <w:rPr>
          <w:rFonts w:cstheme="minorHAnsi"/>
        </w:rPr>
      </w:pPr>
      <w:r>
        <w:rPr>
          <w:rFonts w:cstheme="minorHAnsi"/>
        </w:rPr>
        <w:t>Estuary vegetation r</w:t>
      </w:r>
      <w:r w:rsidR="00F944D7">
        <w:rPr>
          <w:rFonts w:cstheme="minorHAnsi"/>
        </w:rPr>
        <w:t>eproductive mechanisms</w:t>
      </w:r>
      <w:r>
        <w:rPr>
          <w:rFonts w:cstheme="minorHAnsi"/>
        </w:rPr>
        <w:t xml:space="preserve"> and seed bank dynamics, focusing on </w:t>
      </w:r>
      <w:r w:rsidR="00F944D7">
        <w:rPr>
          <w:rFonts w:cstheme="minorHAnsi"/>
        </w:rPr>
        <w:t>the PNW</w:t>
      </w:r>
    </w:p>
    <w:p w14:paraId="6E4F0448" w14:textId="77777777" w:rsidR="000532CD" w:rsidRDefault="000532CD" w:rsidP="000532CD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Broadly define estuaries (define salinity regime &amp; plant characteristics).</w:t>
      </w:r>
    </w:p>
    <w:p w14:paraId="68642B2D" w14:textId="77777777" w:rsidR="000532CD" w:rsidRDefault="000532CD" w:rsidP="000532CD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Explain basic geomorphologic details between coastal plain Atlantic estuaries and fjord-restricted PNW.</w:t>
      </w:r>
    </w:p>
    <w:p w14:paraId="6013AFE0" w14:textId="65BC15FF" w:rsidR="000532CD" w:rsidRPr="000532CD" w:rsidRDefault="000532CD" w:rsidP="000532CD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Explain both coasts dominated by perennial herbaceous graminoids, and studies typical focus on the Atlantic coast, although PNW evidence is increasing. </w:t>
      </w:r>
    </w:p>
    <w:p w14:paraId="684A3E95" w14:textId="185A6CFC" w:rsidR="002B1BF0" w:rsidRDefault="00F944D7" w:rsidP="00E457B4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Mostly perennial graminoids, with some annual species. </w:t>
      </w:r>
    </w:p>
    <w:p w14:paraId="38A020C1" w14:textId="05FA4B3B" w:rsidR="00F944D7" w:rsidRDefault="002B1BF0" w:rsidP="002B1BF0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Several i</w:t>
      </w:r>
      <w:r w:rsidR="00F944D7">
        <w:rPr>
          <w:rFonts w:asciiTheme="minorHAnsi" w:hAnsiTheme="minorHAnsi" w:cstheme="minorHAnsi"/>
          <w:sz w:val="22"/>
          <w:szCs w:val="22"/>
        </w:rPr>
        <w:t xml:space="preserve">nvasive species </w:t>
      </w:r>
      <w:r>
        <w:rPr>
          <w:rFonts w:asciiTheme="minorHAnsi" w:hAnsiTheme="minorHAnsi" w:cstheme="minorHAnsi"/>
          <w:sz w:val="22"/>
          <w:szCs w:val="22"/>
        </w:rPr>
        <w:t xml:space="preserve">occur (Brass buttons, others?), however rhizomatous, perennial grasses may be of higher concern because of their ability to form clonal mats that exclude other species. </w:t>
      </w:r>
    </w:p>
    <w:p w14:paraId="58E2652D" w14:textId="3BC967CE" w:rsidR="00E457B4" w:rsidRPr="002C0216" w:rsidRDefault="00E457B4" w:rsidP="00E457B4">
      <w:pPr>
        <w:pStyle w:val="ListParagraph"/>
        <w:numPr>
          <w:ilvl w:val="0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Seasonal variation in seed bank richness &amp; abundance </w:t>
      </w:r>
    </w:p>
    <w:p w14:paraId="00505CD2" w14:textId="034DE205" w:rsidR="00E457B4" w:rsidRPr="00EA02A7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lastRenderedPageBreak/>
        <w:t xml:space="preserve">Seed sources may be local plants (“seed rain”), or intertidal hydrochory. </w:t>
      </w:r>
    </w:p>
    <w:p w14:paraId="22F56E85" w14:textId="0FBA9D68" w:rsidR="00AB33DC" w:rsidRPr="0076183F" w:rsidRDefault="00AB33DC" w:rsidP="0076183F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Most graminoid species disperse seed from the parent plant in autumn</w:t>
      </w:r>
    </w:p>
    <w:p w14:paraId="5DE49C20" w14:textId="188E378A" w:rsidR="00EA02A7" w:rsidRDefault="00EA02A7" w:rsidP="00EA02A7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Hydrochorous dispersal depends on buoyancy</w:t>
      </w:r>
      <w:r w:rsidR="00AB33DC">
        <w:rPr>
          <w:rFonts w:asciiTheme="minorHAnsi" w:hAnsiTheme="minorHAnsi" w:cstheme="minorHAnsi"/>
          <w:sz w:val="22"/>
          <w:szCs w:val="22"/>
        </w:rPr>
        <w:t>; buoyancy i</w:t>
      </w:r>
      <w:r>
        <w:rPr>
          <w:rFonts w:asciiTheme="minorHAnsi" w:hAnsiTheme="minorHAnsi" w:cstheme="minorHAnsi"/>
          <w:sz w:val="22"/>
          <w:szCs w:val="22"/>
        </w:rPr>
        <w:t xml:space="preserve">s highest at dispersal from the parent plant. </w:t>
      </w:r>
    </w:p>
    <w:p w14:paraId="48216227" w14:textId="1B1A0633" w:rsidR="00AB33DC" w:rsidRPr="002C0216" w:rsidRDefault="00AB33DC" w:rsidP="00EA02A7">
      <w:pPr>
        <w:pStyle w:val="ListParagraph"/>
        <w:numPr>
          <w:ilvl w:val="2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Seeds ‘ground’ following imbibition</w:t>
      </w:r>
    </w:p>
    <w:p w14:paraId="41C6D2EB" w14:textId="77777777" w:rsidR="00E457B4" w:rsidRPr="002C0216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Winter chilling is important for dormancy release; storms/tidal surges result in higher intertidal dispersal</w:t>
      </w:r>
    </w:p>
    <w:p w14:paraId="03964D0D" w14:textId="77777777" w:rsidR="00E457B4" w:rsidRPr="002C0216" w:rsidRDefault="00E457B4" w:rsidP="00E457B4">
      <w:pPr>
        <w:pStyle w:val="ListParagraph"/>
        <w:numPr>
          <w:ilvl w:val="1"/>
          <w:numId w:val="3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Germination occurs in the late spring/early summer, provided sufficient </w:t>
      </w:r>
      <w:proofErr w:type="spellStart"/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WoO</w:t>
      </w:r>
      <w:proofErr w:type="spellEnd"/>
      <w:r w:rsidRPr="002C0216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and competitive space. </w:t>
      </w:r>
    </w:p>
    <w:p w14:paraId="7A464F5F" w14:textId="77777777" w:rsidR="004A6722" w:rsidRDefault="004A6722" w:rsidP="004A6722">
      <w:pPr>
        <w:spacing w:line="216" w:lineRule="auto"/>
        <w:rPr>
          <w:rFonts w:cstheme="minorHAnsi"/>
        </w:rPr>
      </w:pPr>
    </w:p>
    <w:p w14:paraId="5787E7BB" w14:textId="77777777" w:rsidR="004A6722" w:rsidRDefault="004A6722" w:rsidP="004A6722">
      <w:pPr>
        <w:spacing w:line="216" w:lineRule="auto"/>
        <w:rPr>
          <w:rFonts w:cstheme="minorHAnsi"/>
        </w:rPr>
      </w:pPr>
    </w:p>
    <w:p w14:paraId="153CF831" w14:textId="079E3DB1" w:rsidR="00E457B4" w:rsidRPr="002C0216" w:rsidRDefault="00E457B4" w:rsidP="00E457B4">
      <w:pPr>
        <w:spacing w:line="216" w:lineRule="auto"/>
        <w:rPr>
          <w:rFonts w:eastAsiaTheme="minorEastAsia" w:cstheme="minorHAnsi"/>
          <w:color w:val="000000"/>
          <w:kern w:val="24"/>
        </w:rPr>
      </w:pPr>
      <w:r w:rsidRPr="004A6722">
        <w:rPr>
          <w:rFonts w:cstheme="minorHAnsi"/>
        </w:rPr>
        <w:t xml:space="preserve">The main objective of this research is to understand how </w:t>
      </w:r>
      <w:r w:rsidR="002C0216" w:rsidRPr="004A6722">
        <w:rPr>
          <w:rFonts w:cstheme="minorHAnsi"/>
        </w:rPr>
        <w:t xml:space="preserve">vegetation structure affects surface seed bank dynamics in a grazing-disturbed ecosystem. </w:t>
      </w:r>
      <w:r w:rsidR="00A34714">
        <w:rPr>
          <w:rFonts w:cstheme="minorHAnsi"/>
        </w:rPr>
        <w:t xml:space="preserve">We </w:t>
      </w:r>
      <w:r w:rsidR="004A6722">
        <w:rPr>
          <w:rFonts w:cstheme="minorHAnsi"/>
        </w:rPr>
        <w:t>investigate the following:</w:t>
      </w:r>
      <w:r w:rsidR="00A34714">
        <w:rPr>
          <w:rFonts w:cstheme="minorHAnsi"/>
        </w:rPr>
        <w:t xml:space="preserve"> </w:t>
      </w:r>
      <w:r w:rsidR="00A34714" w:rsidRPr="00E326FD">
        <w:t xml:space="preserve">1) </w:t>
      </w:r>
      <w:r w:rsidR="00A34714">
        <w:t>How does CAGO grazing impact species and Plant Functional Groups (PFGs)?  2) How d</w:t>
      </w:r>
      <w:r w:rsidR="00A34714" w:rsidRPr="00E326FD">
        <w:t xml:space="preserve">o </w:t>
      </w:r>
      <w:r w:rsidR="00A34714">
        <w:t>species and PFGs</w:t>
      </w:r>
      <w:r w:rsidR="00A34714" w:rsidRPr="00E326FD">
        <w:t xml:space="preserve"> </w:t>
      </w:r>
      <w:r w:rsidR="00A34714">
        <w:t xml:space="preserve">respond over time since grazing exclusion? </w:t>
      </w:r>
      <w:r w:rsidR="00A34714" w:rsidRPr="00E326FD">
        <w:t xml:space="preserve"> </w:t>
      </w:r>
      <w:r w:rsidR="00A34714">
        <w:t>3</w:t>
      </w:r>
      <w:r w:rsidR="00A34714" w:rsidRPr="00E326FD">
        <w:t>)</w:t>
      </w:r>
      <w:r w:rsidR="00A34714">
        <w:t xml:space="preserve">  How do seed banks respond over time since grazing exclusion? 4) Is seed bank composition similar to above-groun</w:t>
      </w:r>
      <w:bookmarkStart w:id="4" w:name="_GoBack"/>
      <w:bookmarkEnd w:id="4"/>
      <w:r w:rsidR="00A34714">
        <w:t>d species composition?</w:t>
      </w:r>
      <w:bookmarkEnd w:id="0"/>
    </w:p>
    <w:sectPr w:rsidR="00E457B4" w:rsidRPr="002C02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tefanie Lane" w:date="2022-02-27T22:10:00Z" w:initials="SLL">
    <w:p w14:paraId="1F392ECD" w14:textId="53A998B0" w:rsidR="0058037D" w:rsidRDefault="0058037D">
      <w:pPr>
        <w:pStyle w:val="CommentText"/>
      </w:pPr>
      <w:r>
        <w:rPr>
          <w:rStyle w:val="CommentReference"/>
        </w:rPr>
        <w:annotationRef/>
      </w:r>
      <w:r w:rsidR="00AC6ACD">
        <w:t>Previously used the term ‘structural complexity,’ but not sure if that’s actually true/right. T</w:t>
      </w:r>
      <w:r>
        <w:t>hese sites don’t have much variation in complexity, they’re</w:t>
      </w:r>
      <w:r w:rsidR="00AC6ACD">
        <w:t xml:space="preserve"> mostly</w:t>
      </w:r>
      <w:r>
        <w:t xml:space="preserve"> either short/annual, or tall/perennial</w:t>
      </w:r>
      <w:r w:rsidR="00AC6ACD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392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392ECD" w16cid:durableId="25C675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AC37" w14:textId="77777777" w:rsidR="00D077E5" w:rsidRDefault="00D077E5" w:rsidP="00D077E5">
      <w:pPr>
        <w:spacing w:after="0" w:line="240" w:lineRule="auto"/>
      </w:pPr>
      <w:r>
        <w:separator/>
      </w:r>
    </w:p>
  </w:endnote>
  <w:endnote w:type="continuationSeparator" w:id="0">
    <w:p w14:paraId="0FAA1B2A" w14:textId="77777777" w:rsidR="00D077E5" w:rsidRDefault="00D077E5" w:rsidP="00D0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B1AC2" w14:textId="77777777" w:rsidR="00D077E5" w:rsidRDefault="00D077E5" w:rsidP="00D077E5">
      <w:pPr>
        <w:spacing w:after="0" w:line="240" w:lineRule="auto"/>
      </w:pPr>
      <w:r>
        <w:separator/>
      </w:r>
    </w:p>
  </w:footnote>
  <w:footnote w:type="continuationSeparator" w:id="0">
    <w:p w14:paraId="45CAB94D" w14:textId="77777777" w:rsidR="00D077E5" w:rsidRDefault="00D077E5" w:rsidP="00D0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34D8" w14:textId="77777777" w:rsidR="00D077E5" w:rsidRPr="00A34714" w:rsidRDefault="00D077E5" w:rsidP="00A34714">
    <w:r w:rsidRPr="00A34714">
      <w:t xml:space="preserve">Lane et al., 2022. </w:t>
    </w:r>
    <w:r w:rsidRPr="00A34714">
      <w:t xml:space="preserve">Impact of non-native resident Canada geese on estuaries and trajectory of recovery following their exclusion </w:t>
    </w:r>
  </w:p>
  <w:p w14:paraId="7F11886F" w14:textId="6D0C7E82" w:rsidR="00D077E5" w:rsidRDefault="00D077E5" w:rsidP="00D077E5">
    <w:pPr>
      <w:pStyle w:val="Header"/>
      <w:jc w:val="right"/>
    </w:pPr>
  </w:p>
  <w:p w14:paraId="1168CF51" w14:textId="77777777" w:rsidR="00D077E5" w:rsidRDefault="00D07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2169"/>
    <w:multiLevelType w:val="hybridMultilevel"/>
    <w:tmpl w:val="08FACDEC"/>
    <w:lvl w:ilvl="0" w:tplc="614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A07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598CDA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2148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901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E8E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6F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8F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D8AA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11A42"/>
    <w:multiLevelType w:val="hybridMultilevel"/>
    <w:tmpl w:val="C36EE542"/>
    <w:lvl w:ilvl="0" w:tplc="03A67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09F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520B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E2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00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54F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2A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C9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07F20"/>
    <w:multiLevelType w:val="hybridMultilevel"/>
    <w:tmpl w:val="2B466E26"/>
    <w:lvl w:ilvl="0" w:tplc="9ECA5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83D0B"/>
    <w:multiLevelType w:val="hybridMultilevel"/>
    <w:tmpl w:val="FDAE9BDA"/>
    <w:lvl w:ilvl="0" w:tplc="87CC0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072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37F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02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2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62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CD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64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03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90E7F"/>
    <w:multiLevelType w:val="hybridMultilevel"/>
    <w:tmpl w:val="B8540DE0"/>
    <w:lvl w:ilvl="0" w:tplc="8E829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47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49C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CD8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4C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E8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9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4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A9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ie Lane">
    <w15:presenceInfo w15:providerId="None" w15:userId="Stefanie 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E9"/>
    <w:rsid w:val="000532CD"/>
    <w:rsid w:val="00094558"/>
    <w:rsid w:val="000C0343"/>
    <w:rsid w:val="000C6A30"/>
    <w:rsid w:val="000D45B1"/>
    <w:rsid w:val="000D7817"/>
    <w:rsid w:val="000F3EDA"/>
    <w:rsid w:val="001D23A0"/>
    <w:rsid w:val="001E5F8F"/>
    <w:rsid w:val="00206CCC"/>
    <w:rsid w:val="002166CF"/>
    <w:rsid w:val="00231864"/>
    <w:rsid w:val="00241CB1"/>
    <w:rsid w:val="002B1BF0"/>
    <w:rsid w:val="002C0216"/>
    <w:rsid w:val="002D2B7E"/>
    <w:rsid w:val="002D4E49"/>
    <w:rsid w:val="002E313C"/>
    <w:rsid w:val="002F3B9C"/>
    <w:rsid w:val="003C6DE1"/>
    <w:rsid w:val="003E5F15"/>
    <w:rsid w:val="003E7102"/>
    <w:rsid w:val="00452E94"/>
    <w:rsid w:val="004603CD"/>
    <w:rsid w:val="0046426D"/>
    <w:rsid w:val="00476B3C"/>
    <w:rsid w:val="00482AE1"/>
    <w:rsid w:val="004A6722"/>
    <w:rsid w:val="00540AB9"/>
    <w:rsid w:val="0058037D"/>
    <w:rsid w:val="005B5426"/>
    <w:rsid w:val="005D0682"/>
    <w:rsid w:val="005F16B0"/>
    <w:rsid w:val="00601B1B"/>
    <w:rsid w:val="006314D6"/>
    <w:rsid w:val="00632174"/>
    <w:rsid w:val="00641F4F"/>
    <w:rsid w:val="006641C7"/>
    <w:rsid w:val="00695E07"/>
    <w:rsid w:val="006D37DE"/>
    <w:rsid w:val="00740A75"/>
    <w:rsid w:val="0074507E"/>
    <w:rsid w:val="00754230"/>
    <w:rsid w:val="0076183F"/>
    <w:rsid w:val="007A08C7"/>
    <w:rsid w:val="007A16DD"/>
    <w:rsid w:val="0080212E"/>
    <w:rsid w:val="008034B1"/>
    <w:rsid w:val="00827D30"/>
    <w:rsid w:val="008445A3"/>
    <w:rsid w:val="008740DD"/>
    <w:rsid w:val="008860EF"/>
    <w:rsid w:val="008925E9"/>
    <w:rsid w:val="008B11BB"/>
    <w:rsid w:val="008D6161"/>
    <w:rsid w:val="008F0AB8"/>
    <w:rsid w:val="009105F1"/>
    <w:rsid w:val="009478AD"/>
    <w:rsid w:val="009518A2"/>
    <w:rsid w:val="0096791C"/>
    <w:rsid w:val="00990A82"/>
    <w:rsid w:val="00993B77"/>
    <w:rsid w:val="00A124C0"/>
    <w:rsid w:val="00A25EA2"/>
    <w:rsid w:val="00A34714"/>
    <w:rsid w:val="00A841A6"/>
    <w:rsid w:val="00AB33DC"/>
    <w:rsid w:val="00AC1EA8"/>
    <w:rsid w:val="00AC1FFF"/>
    <w:rsid w:val="00AC4C51"/>
    <w:rsid w:val="00AC6ACD"/>
    <w:rsid w:val="00B2548C"/>
    <w:rsid w:val="00B47230"/>
    <w:rsid w:val="00B879F5"/>
    <w:rsid w:val="00D077E5"/>
    <w:rsid w:val="00DC636F"/>
    <w:rsid w:val="00DD23CB"/>
    <w:rsid w:val="00DD3398"/>
    <w:rsid w:val="00E169EE"/>
    <w:rsid w:val="00E37EF2"/>
    <w:rsid w:val="00E457B4"/>
    <w:rsid w:val="00E90CEE"/>
    <w:rsid w:val="00EA02A7"/>
    <w:rsid w:val="00EB5C54"/>
    <w:rsid w:val="00EC0935"/>
    <w:rsid w:val="00F206D8"/>
    <w:rsid w:val="00F944D7"/>
    <w:rsid w:val="00FC4ACB"/>
    <w:rsid w:val="00FD3B19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CFBD"/>
  <w15:chartTrackingRefBased/>
  <w15:docId w15:val="{826BD009-B68D-4C47-9F81-0BC66F5B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1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F4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4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8C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E5"/>
  </w:style>
  <w:style w:type="paragraph" w:styleId="Footer">
    <w:name w:val="footer"/>
    <w:basedOn w:val="Normal"/>
    <w:link w:val="FooterChar"/>
    <w:uiPriority w:val="99"/>
    <w:unhideWhenUsed/>
    <w:rsid w:val="00D0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2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9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8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4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72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2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26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66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92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6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CD031-4CDE-4A73-AE67-F0C676A0A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94885-9DFA-4EEC-89E2-F1CB9EFF9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6F03D-B057-403F-96CA-AC0A55F9BD02}">
  <ds:schemaRefs>
    <ds:schemaRef ds:uri="http://schemas.openxmlformats.org/package/2006/metadata/core-properties"/>
    <ds:schemaRef ds:uri="http://www.w3.org/XML/1998/namespace"/>
    <ds:schemaRef ds:uri="360018dd-41eb-4458-b1d4-4b46a95a2b02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8c008993-a31f-4b40-b1f3-88dd9c6e192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Lane</dc:creator>
  <cp:keywords/>
  <dc:description/>
  <cp:lastModifiedBy>Stefanie Lane</cp:lastModifiedBy>
  <cp:revision>20</cp:revision>
  <dcterms:created xsi:type="dcterms:W3CDTF">2022-02-28T05:54:00Z</dcterms:created>
  <dcterms:modified xsi:type="dcterms:W3CDTF">2022-03-08T20:18:00Z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