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bCs/>
          <w:sz w:val="28"/>
          <w:szCs w:val="28"/>
        </w:rPr>
      </w:pPr>
      <w:r>
        <w:rPr>
          <w:b/>
          <w:bCs/>
          <w:sz w:val="28"/>
          <w:szCs w:val="28"/>
        </w:rPr>
        <w:t>Svarark til ISTx1002 prosjektdelen, høst 2023</w:t>
      </w:r>
    </w:p>
    <w:p>
      <w:pPr>
        <w:pStyle w:val="TextBody"/>
        <w:rPr>
          <w:b/>
          <w:b/>
          <w:bCs/>
          <w:sz w:val="28"/>
          <w:szCs w:val="28"/>
        </w:rPr>
      </w:pPr>
      <w:r>
        <w:rPr>
          <w:b/>
          <w:bCs/>
          <w:sz w:val="28"/>
          <w:szCs w:val="28"/>
        </w:rPr>
        <w:t>Oppgave 1</w:t>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Finn tre eksempler på estimater eller målinger som har usikkerhet knyttet til seg. Eksemplene kan være fra dagliglivet eller samfunnet generelt. Skriv maks 2 setninger per eksempel.</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Nå skal dere finne et eksempel fra studiet deres, for eksempel en måling dere måtte gjøre i en lab (kjemi, fysik, biologi...). Har dere målt usikkerheten? Har dere tatt gjentatte målinger? Ble usikkerheten tatt i betraktning? Vurder det kritisk nå på etterkant og si om dere hadde gjor noe annet nå.</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rFonts w:ascii="Calibri" w:hAnsi="Calibri" w:eastAsia="Calibri" w:cs=""/>
          <w:color w:val="000000" w:themeColor="text1"/>
          <w:kern w:val="2"/>
          <w:sz w:val="24"/>
          <w:szCs w:val="24"/>
          <w:highlight w:val="none"/>
          <w:shd w:fill="auto" w:val="clear"/>
          <w:lang w:val="nb-NO" w:eastAsia="en-US" w:bidi="ar-SA"/>
        </w:rPr>
      </w:pPr>
      <w:r>
        <w:rPr>
          <w:rFonts w:eastAsia="Calibri" w:cs=""/>
          <w:color w:val="000000" w:themeColor="text1"/>
          <w:kern w:val="2"/>
          <w:sz w:val="24"/>
          <w:szCs w:val="24"/>
          <w:shd w:fill="auto" w:val="clear"/>
          <w:lang w:val="nb-NO" w:eastAsia="en-US" w:bidi="ar-SA"/>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1c)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pPr>
            <w:r>
              <w:rPr>
                <w:rFonts w:eastAsia="Calibri" w:cs=""/>
                <w:b w:val="false"/>
                <w:bCs w:val="false"/>
                <w:color w:val="000000" w:themeColor="text1"/>
                <w:kern w:val="2"/>
                <w:sz w:val="24"/>
                <w:szCs w:val="24"/>
                <w:shd w:fill="auto" w:val="clear"/>
                <w:lang w:val="nb-NO" w:eastAsia="en-US" w:bidi="ar-SA"/>
              </w:rPr>
              <w:t xml:space="preserve">Med utgangspunkt i eksemplene fra </w:t>
            </w:r>
            <w:r>
              <w:rPr>
                <w:rStyle w:val="StrongEmphasis"/>
                <w:rFonts w:eastAsia="Calibri" w:cs=""/>
                <w:b w:val="false"/>
                <w:bCs w:val="false"/>
                <w:color w:val="000000" w:themeColor="text1"/>
                <w:kern w:val="2"/>
                <w:sz w:val="24"/>
                <w:szCs w:val="24"/>
                <w:shd w:fill="auto" w:val="clear"/>
                <w:lang w:val="nb-NO" w:eastAsia="en-US" w:bidi="ar-SA"/>
              </w:rPr>
              <w:t>1a)</w:t>
            </w:r>
            <w:r>
              <w:rPr>
                <w:rFonts w:eastAsia="Calibri" w:cs=""/>
                <w:b w:val="false"/>
                <w:bCs w:val="false"/>
                <w:color w:val="000000" w:themeColor="text1"/>
                <w:kern w:val="2"/>
                <w:sz w:val="24"/>
                <w:szCs w:val="24"/>
                <w:shd w:fill="auto" w:val="clear"/>
                <w:lang w:val="nb-NO" w:eastAsia="en-US" w:bidi="ar-SA"/>
              </w:rPr>
              <w:t>, oppgi et tilnærmet overslag på størrelsen til usikkerheten. Begrunn overslagene. Skriv maks 2 setninger per eksempel.</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b w:val="false"/>
          <w:b w:val="false"/>
          <w:bCs w:val="false"/>
        </w:rPr>
      </w:pPr>
      <w:r>
        <w:rPr>
          <w:b/>
          <w:bCs/>
          <w:sz w:val="28"/>
          <w:szCs w:val="28"/>
        </w:rPr>
        <w:t>Oppgave 2</w:t>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2a)</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Er standard usikkerheten til lasaravstandsmåleren fra Figur 2 en type A-usikkerhet eller en type B-usikkerhet? Begrunn svaret kjapt (maks 2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2b)</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Anta at målingene som gjøres med laseravstandsmåleren er normalfordelte og forventningsrette (ingen systematiske feil). La den ukjente størrelsen </w:t>
            </w:r>
            <w:bookmarkStart w:id="0" w:name="MathJax-Span-471"/>
            <w:bookmarkStart w:id="1" w:name="MathJax-Span-470"/>
            <w:bookmarkStart w:id="2" w:name="MathJax-Element-72-Frame"/>
            <w:bookmarkStart w:id="3" w:name="MathJax-Span-472"/>
            <w:bookmarkEnd w:id="0"/>
            <w:bookmarkEnd w:id="1"/>
            <w:bookmarkEnd w:id="2"/>
            <w:bookmarkEnd w:id="3"/>
            <w:r>
              <w:rPr>
                <w:rFonts w:eastAsia="Calibri" w:cs=""/>
                <w:b w:val="false"/>
                <w:bCs w:val="false"/>
                <w:color w:val="000000" w:themeColor="text1"/>
                <w:kern w:val="2"/>
                <w:sz w:val="24"/>
                <w:szCs w:val="24"/>
                <w:lang w:val="nb-NO" w:eastAsia="en-US" w:bidi="ar-SA"/>
              </w:rPr>
              <w:t xml:space="preserve">𝐿 representere den avstanden du ønsker å måle, målt i millimeter. Hva er sannsynligheten for at målingen du gjør faller innenfor intervallet </w:t>
            </w:r>
            <w:bookmarkStart w:id="4" w:name="MathJax-Span-475"/>
            <w:bookmarkStart w:id="5" w:name="MathJax-Span-474"/>
            <w:bookmarkStart w:id="6" w:name="MathJax-Span-473"/>
            <w:bookmarkStart w:id="7" w:name="MathJax-Element-73-Frame"/>
            <w:bookmarkEnd w:id="4"/>
            <w:bookmarkEnd w:id="5"/>
            <w:bookmarkEnd w:id="6"/>
            <w:bookmarkEnd w:id="7"/>
            <w:r>
              <w:rPr>
                <w:rFonts w:eastAsia="Calibri" w:cs="" w:ascii="STIXMathJax Main" w:hAnsi="STIXMathJax Main"/>
                <w:b w:val="false"/>
                <w:bCs w:val="false"/>
                <w:color w:val="000000" w:themeColor="text1"/>
                <w:kern w:val="2"/>
                <w:sz w:val="24"/>
                <w:szCs w:val="24"/>
                <w:lang w:val="nb-NO" w:eastAsia="en-US" w:bidi="ar-SA"/>
              </w:rPr>
              <w:t>[</w:t>
            </w:r>
            <w:bookmarkStart w:id="8" w:name="MathJax-Span-476"/>
            <w:bookmarkEnd w:id="8"/>
            <w:r>
              <w:rPr>
                <w:rFonts w:eastAsia="Calibri" w:cs=""/>
                <w:b w:val="false"/>
                <w:bCs w:val="false"/>
                <w:color w:val="000000" w:themeColor="text1"/>
                <w:kern w:val="2"/>
                <w:sz w:val="24"/>
                <w:szCs w:val="24"/>
                <w:lang w:val="nb-NO" w:eastAsia="en-US" w:bidi="ar-SA"/>
              </w:rPr>
              <w:t>𝐿</w:t>
            </w:r>
            <w:bookmarkStart w:id="9" w:name="MathJax-Span-477"/>
            <w:bookmarkEnd w:id="9"/>
            <w:r>
              <w:rPr>
                <w:rFonts w:eastAsia="Calibri" w:cs=""/>
                <w:b w:val="false"/>
                <w:bCs w:val="false"/>
                <w:color w:val="000000" w:themeColor="text1"/>
                <w:kern w:val="2"/>
                <w:sz w:val="24"/>
                <w:szCs w:val="24"/>
                <w:lang w:val="nb-NO" w:eastAsia="en-US" w:bidi="ar-SA"/>
              </w:rPr>
              <w:t>–</w:t>
            </w:r>
            <w:bookmarkStart w:id="10" w:name="MathJax-Span-478"/>
            <w:bookmarkEnd w:id="10"/>
            <w:r>
              <w:rPr>
                <w:rFonts w:eastAsia="Calibri" w:cs="" w:ascii="STIXMathJax Main" w:hAnsi="STIXMathJax Main"/>
                <w:b w:val="false"/>
                <w:bCs w:val="false"/>
                <w:color w:val="000000" w:themeColor="text1"/>
                <w:kern w:val="2"/>
                <w:sz w:val="24"/>
                <w:szCs w:val="24"/>
                <w:lang w:val="nb-NO" w:eastAsia="en-US" w:bidi="ar-SA"/>
              </w:rPr>
              <w:t>2.0</w:t>
            </w:r>
            <w:bookmarkStart w:id="11" w:name="MathJax-Span-479"/>
            <w:bookmarkEnd w:id="11"/>
            <w:r>
              <w:rPr>
                <w:rFonts w:eastAsia="Calibri" w:cs="" w:ascii="STIXMathJax Main" w:hAnsi="STIXMathJax Main"/>
                <w:b w:val="false"/>
                <w:bCs w:val="false"/>
                <w:color w:val="000000" w:themeColor="text1"/>
                <w:kern w:val="2"/>
                <w:sz w:val="24"/>
                <w:szCs w:val="24"/>
                <w:lang w:val="nb-NO" w:eastAsia="en-US" w:bidi="ar-SA"/>
              </w:rPr>
              <w:t>mm</w:t>
            </w:r>
            <w:bookmarkStart w:id="12" w:name="MathJax-Span-480"/>
            <w:bookmarkEnd w:id="12"/>
            <w:r>
              <w:rPr>
                <w:rFonts w:eastAsia="Calibri" w:cs="" w:ascii="STIXMathJax Main" w:hAnsi="STIXMathJax Main"/>
                <w:b w:val="false"/>
                <w:bCs w:val="false"/>
                <w:color w:val="000000" w:themeColor="text1"/>
                <w:kern w:val="2"/>
                <w:sz w:val="24"/>
                <w:szCs w:val="24"/>
                <w:lang w:val="nb-NO" w:eastAsia="en-US" w:bidi="ar-SA"/>
              </w:rPr>
              <w:t>,</w:t>
            </w:r>
            <w:bookmarkStart w:id="13" w:name="MathJax-Span-481"/>
            <w:bookmarkEnd w:id="13"/>
            <w:r>
              <w:rPr>
                <w:rFonts w:eastAsia="Calibri" w:cs=""/>
                <w:b w:val="false"/>
                <w:bCs w:val="false"/>
                <w:color w:val="000000" w:themeColor="text1"/>
                <w:kern w:val="2"/>
                <w:sz w:val="24"/>
                <w:szCs w:val="24"/>
                <w:lang w:val="nb-NO" w:eastAsia="en-US" w:bidi="ar-SA"/>
              </w:rPr>
              <w:t>𝐿</w:t>
            </w:r>
            <w:bookmarkStart w:id="14" w:name="MathJax-Span-482"/>
            <w:bookmarkEnd w:id="14"/>
            <w:r>
              <w:rPr>
                <w:rFonts w:eastAsia="Calibri" w:cs="" w:ascii="STIXMathJax Main" w:hAnsi="STIXMathJax Main"/>
                <w:b w:val="false"/>
                <w:bCs w:val="false"/>
                <w:color w:val="000000" w:themeColor="text1"/>
                <w:kern w:val="2"/>
                <w:sz w:val="24"/>
                <w:szCs w:val="24"/>
                <w:lang w:val="nb-NO" w:eastAsia="en-US" w:bidi="ar-SA"/>
              </w:rPr>
              <w:t>+</w:t>
            </w:r>
            <w:bookmarkStart w:id="15" w:name="MathJax-Span-483"/>
            <w:bookmarkEnd w:id="15"/>
            <w:r>
              <w:rPr>
                <w:rFonts w:eastAsia="Calibri" w:cs="" w:ascii="STIXMathJax Main" w:hAnsi="STIXMathJax Main"/>
                <w:b w:val="false"/>
                <w:bCs w:val="false"/>
                <w:color w:val="000000" w:themeColor="text1"/>
                <w:kern w:val="2"/>
                <w:sz w:val="24"/>
                <w:szCs w:val="24"/>
                <w:lang w:val="nb-NO" w:eastAsia="en-US" w:bidi="ar-SA"/>
              </w:rPr>
              <w:t>2.0</w:t>
            </w:r>
            <w:bookmarkStart w:id="16" w:name="MathJax-Span-484"/>
            <w:bookmarkEnd w:id="16"/>
            <w:r>
              <w:rPr>
                <w:rFonts w:eastAsia="Calibri" w:cs="" w:ascii="STIXMathJax Main" w:hAnsi="STIXMathJax Main"/>
                <w:b w:val="false"/>
                <w:bCs w:val="false"/>
                <w:color w:val="000000" w:themeColor="text1"/>
                <w:kern w:val="2"/>
                <w:sz w:val="24"/>
                <w:szCs w:val="24"/>
                <w:lang w:val="nb-NO" w:eastAsia="en-US" w:bidi="ar-SA"/>
              </w:rPr>
              <w:t>mm</w:t>
            </w:r>
            <w:bookmarkStart w:id="17" w:name="MathJax-Span-485"/>
            <w:bookmarkEnd w:id="17"/>
            <w:r>
              <w:rPr>
                <w:rFonts w:eastAsia="Calibri" w:cs="" w:ascii="STIXMathJax Main" w:hAnsi="STIXMathJax Main"/>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lang w:val="nb-NO" w:eastAsia="en-US" w:bidi="ar-SA"/>
              </w:rPr>
              <w:t xml:space="preserve">? Og hva er sannsynligheten for at målingen du gjør faller innenfor intervallet </w:t>
            </w:r>
            <w:bookmarkStart w:id="18" w:name="MathJax-Element-74-Frame"/>
            <w:bookmarkStart w:id="19" w:name="MathJax-Span-487"/>
            <w:bookmarkStart w:id="20" w:name="MathJax-Span-488"/>
            <w:bookmarkStart w:id="21" w:name="MathJax-Span-486"/>
            <w:bookmarkEnd w:id="18"/>
            <w:bookmarkEnd w:id="19"/>
            <w:bookmarkEnd w:id="20"/>
            <w:bookmarkEnd w:id="21"/>
            <w:r>
              <w:rPr>
                <w:rFonts w:eastAsia="Calibri" w:cs="" w:ascii="STIXMathJax Main" w:hAnsi="STIXMathJax Main"/>
                <w:b w:val="false"/>
                <w:bCs w:val="false"/>
                <w:color w:val="000000" w:themeColor="text1"/>
                <w:kern w:val="2"/>
                <w:sz w:val="24"/>
                <w:szCs w:val="24"/>
                <w:lang w:val="nb-NO" w:eastAsia="en-US" w:bidi="ar-SA"/>
              </w:rPr>
              <w:t>[</w:t>
            </w:r>
            <w:bookmarkStart w:id="22" w:name="MathJax-Span-489"/>
            <w:bookmarkEnd w:id="22"/>
            <w:r>
              <w:rPr>
                <w:rFonts w:eastAsia="Calibri" w:cs=""/>
                <w:b w:val="false"/>
                <w:bCs w:val="false"/>
                <w:color w:val="000000" w:themeColor="text1"/>
                <w:kern w:val="2"/>
                <w:sz w:val="24"/>
                <w:szCs w:val="24"/>
                <w:lang w:val="nb-NO" w:eastAsia="en-US" w:bidi="ar-SA"/>
              </w:rPr>
              <w:t>𝐿</w:t>
            </w:r>
            <w:bookmarkStart w:id="23" w:name="MathJax-Span-490"/>
            <w:bookmarkEnd w:id="23"/>
            <w:r>
              <w:rPr>
                <w:rFonts w:eastAsia="Calibri" w:cs=""/>
                <w:b w:val="false"/>
                <w:bCs w:val="false"/>
                <w:color w:val="000000" w:themeColor="text1"/>
                <w:kern w:val="2"/>
                <w:sz w:val="24"/>
                <w:szCs w:val="24"/>
                <w:lang w:val="nb-NO" w:eastAsia="en-US" w:bidi="ar-SA"/>
              </w:rPr>
              <w:t>–</w:t>
            </w:r>
            <w:bookmarkStart w:id="24" w:name="MathJax-Span-491"/>
            <w:bookmarkEnd w:id="24"/>
            <w:r>
              <w:rPr>
                <w:rFonts w:eastAsia="Calibri" w:cs="" w:ascii="STIXMathJax Main" w:hAnsi="STIXMathJax Main"/>
                <w:b w:val="false"/>
                <w:bCs w:val="false"/>
                <w:color w:val="000000" w:themeColor="text1"/>
                <w:kern w:val="2"/>
                <w:sz w:val="24"/>
                <w:szCs w:val="24"/>
                <w:lang w:val="nb-NO" w:eastAsia="en-US" w:bidi="ar-SA"/>
              </w:rPr>
              <w:t>4.0</w:t>
            </w:r>
            <w:bookmarkStart w:id="25" w:name="MathJax-Span-492"/>
            <w:bookmarkEnd w:id="25"/>
            <w:r>
              <w:rPr>
                <w:rFonts w:eastAsia="Calibri" w:cs="" w:ascii="STIXMathJax Main" w:hAnsi="STIXMathJax Main"/>
                <w:b w:val="false"/>
                <w:bCs w:val="false"/>
                <w:color w:val="000000" w:themeColor="text1"/>
                <w:kern w:val="2"/>
                <w:sz w:val="24"/>
                <w:szCs w:val="24"/>
                <w:lang w:val="nb-NO" w:eastAsia="en-US" w:bidi="ar-SA"/>
              </w:rPr>
              <w:t>mm</w:t>
            </w:r>
            <w:bookmarkStart w:id="26" w:name="MathJax-Span-493"/>
            <w:bookmarkEnd w:id="26"/>
            <w:r>
              <w:rPr>
                <w:rFonts w:eastAsia="Calibri" w:cs="" w:ascii="STIXMathJax Main" w:hAnsi="STIXMathJax Main"/>
                <w:b w:val="false"/>
                <w:bCs w:val="false"/>
                <w:color w:val="000000" w:themeColor="text1"/>
                <w:kern w:val="2"/>
                <w:sz w:val="24"/>
                <w:szCs w:val="24"/>
                <w:lang w:val="nb-NO" w:eastAsia="en-US" w:bidi="ar-SA"/>
              </w:rPr>
              <w:t>,</w:t>
            </w:r>
            <w:bookmarkStart w:id="27" w:name="MathJax-Span-494"/>
            <w:bookmarkEnd w:id="27"/>
            <w:r>
              <w:rPr>
                <w:rFonts w:eastAsia="Calibri" w:cs=""/>
                <w:b w:val="false"/>
                <w:bCs w:val="false"/>
                <w:color w:val="000000" w:themeColor="text1"/>
                <w:kern w:val="2"/>
                <w:sz w:val="24"/>
                <w:szCs w:val="24"/>
                <w:lang w:val="nb-NO" w:eastAsia="en-US" w:bidi="ar-SA"/>
              </w:rPr>
              <w:t>𝐿</w:t>
            </w:r>
            <w:bookmarkStart w:id="28" w:name="MathJax-Span-495"/>
            <w:bookmarkEnd w:id="28"/>
            <w:r>
              <w:rPr>
                <w:rFonts w:eastAsia="Calibri" w:cs="" w:ascii="STIXMathJax Main" w:hAnsi="STIXMathJax Main"/>
                <w:b w:val="false"/>
                <w:bCs w:val="false"/>
                <w:color w:val="000000" w:themeColor="text1"/>
                <w:kern w:val="2"/>
                <w:sz w:val="24"/>
                <w:szCs w:val="24"/>
                <w:lang w:val="nb-NO" w:eastAsia="en-US" w:bidi="ar-SA"/>
              </w:rPr>
              <w:t>+</w:t>
            </w:r>
            <w:bookmarkStart w:id="29" w:name="MathJax-Span-496"/>
            <w:bookmarkEnd w:id="29"/>
            <w:r>
              <w:rPr>
                <w:rFonts w:eastAsia="Calibri" w:cs="" w:ascii="STIXMathJax Main" w:hAnsi="STIXMathJax Main"/>
                <w:b w:val="false"/>
                <w:bCs w:val="false"/>
                <w:color w:val="000000" w:themeColor="text1"/>
                <w:kern w:val="2"/>
                <w:sz w:val="24"/>
                <w:szCs w:val="24"/>
                <w:lang w:val="nb-NO" w:eastAsia="en-US" w:bidi="ar-SA"/>
              </w:rPr>
              <w:t>4.0</w:t>
            </w:r>
            <w:bookmarkStart w:id="30" w:name="MathJax-Span-497"/>
            <w:bookmarkEnd w:id="30"/>
            <w:r>
              <w:rPr>
                <w:rFonts w:eastAsia="Calibri" w:cs="" w:ascii="STIXMathJax Main" w:hAnsi="STIXMathJax Main"/>
                <w:b w:val="false"/>
                <w:bCs w:val="false"/>
                <w:color w:val="000000" w:themeColor="text1"/>
                <w:kern w:val="2"/>
                <w:sz w:val="24"/>
                <w:szCs w:val="24"/>
                <w:lang w:val="nb-NO" w:eastAsia="en-US" w:bidi="ar-SA"/>
              </w:rPr>
              <w:t>mm</w:t>
            </w:r>
            <w:bookmarkStart w:id="31" w:name="MathJax-Span-498"/>
            <w:bookmarkEnd w:id="31"/>
            <w:r>
              <w:rPr>
                <w:rFonts w:eastAsia="Calibri" w:cs="" w:ascii="STIXMathJax Main" w:hAnsi="STIXMathJax Main"/>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lang w:val="nb-NO" w:eastAsia="en-US" w:bidi="ar-SA"/>
              </w:rPr>
              <w:t>? Vis utregningene.</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3</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 </w:t>
            </w:r>
            <w:r>
              <w:rPr>
                <w:rFonts w:eastAsia="Calibri" w:cs=""/>
                <w:b w:val="false"/>
                <w:bCs w:val="false"/>
                <w:color w:val="000000" w:themeColor="text1"/>
                <w:kern w:val="2"/>
                <w:sz w:val="24"/>
                <w:szCs w:val="24"/>
                <w:shd w:fill="auto" w:val="clear"/>
                <w:lang w:val="nb-NO" w:eastAsia="en-US" w:bidi="ar-SA"/>
              </w:rPr>
              <w:t xml:space="preserve">Finn målefunksjonen til avstanden </w:t>
            </w:r>
            <w:bookmarkStart w:id="32" w:name="MathJax-Span-66"/>
            <w:bookmarkStart w:id="33" w:name="MathJax-Span-65"/>
            <w:bookmarkStart w:id="34" w:name="MathJax-Span-67"/>
            <w:bookmarkStart w:id="35" w:name="MathJax-Element-14-Frame"/>
            <w:bookmarkEnd w:id="32"/>
            <w:bookmarkEnd w:id="33"/>
            <w:bookmarkEnd w:id="34"/>
            <w:bookmarkEnd w:id="35"/>
            <w:r>
              <w:rPr>
                <w:rFonts w:eastAsia="Calibri" w:cs=""/>
                <w:b w:val="false"/>
                <w:bCs w:val="false"/>
                <w:color w:val="000000" w:themeColor="text1"/>
                <w:kern w:val="2"/>
                <w:sz w:val="24"/>
                <w:szCs w:val="24"/>
                <w:shd w:fill="auto" w:val="clear"/>
                <w:lang w:val="nb-NO" w:eastAsia="en-US" w:bidi="ar-SA"/>
              </w:rPr>
              <w:t>𝐷.</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Anta at de to målte avstandene </w:t>
            </w:r>
            <w:bookmarkStart w:id="36" w:name="MathJax-Span-70"/>
            <w:bookmarkStart w:id="37" w:name="MathJax-Span-69"/>
            <w:bookmarkStart w:id="38" w:name="MathJax-Span-68"/>
            <w:bookmarkStart w:id="39" w:name="MathJax-Element-15-Frame"/>
            <w:bookmarkEnd w:id="36"/>
            <w:bookmarkEnd w:id="37"/>
            <w:bookmarkEnd w:id="38"/>
            <w:bookmarkEnd w:id="39"/>
            <w:r>
              <w:rPr>
                <w:rFonts w:eastAsia="Calibri" w:cs=""/>
                <w:b w:val="false"/>
                <w:bCs w:val="false"/>
                <w:color w:val="000000" w:themeColor="text1"/>
                <w:kern w:val="2"/>
                <w:sz w:val="24"/>
                <w:szCs w:val="24"/>
                <w:shd w:fill="auto" w:val="clear"/>
                <w:lang w:val="nb-NO" w:eastAsia="en-US" w:bidi="ar-SA"/>
              </w:rPr>
              <w:t>𝐷</w:t>
            </w:r>
            <w:bookmarkStart w:id="40" w:name="MathJax-Span-71"/>
            <w:bookmarkEnd w:id="40"/>
            <w:r>
              <w:rPr>
                <w:rFonts w:eastAsia="Calibri" w:cs=""/>
                <w:b w:val="false"/>
                <w:bCs w:val="false"/>
                <w:color w:val="000000" w:themeColor="text1"/>
                <w:kern w:val="2"/>
                <w:sz w:val="24"/>
                <w:szCs w:val="24"/>
                <w:shd w:fill="auto" w:val="clear"/>
                <w:lang w:val="nb-NO" w:eastAsia="en-US" w:bidi="ar-SA"/>
              </w:rPr>
              <w:t xml:space="preserve">1 og </w:t>
            </w:r>
            <w:bookmarkStart w:id="41" w:name="MathJax-Span-73"/>
            <w:bookmarkStart w:id="42" w:name="MathJax-Span-74"/>
            <w:bookmarkStart w:id="43" w:name="MathJax-Element-16-Frame"/>
            <w:bookmarkStart w:id="44" w:name="MathJax-Span-72"/>
            <w:bookmarkEnd w:id="41"/>
            <w:bookmarkEnd w:id="42"/>
            <w:bookmarkEnd w:id="43"/>
            <w:bookmarkEnd w:id="44"/>
            <w:r>
              <w:rPr>
                <w:rFonts w:eastAsia="Calibri" w:cs=""/>
                <w:b w:val="false"/>
                <w:bCs w:val="false"/>
                <w:color w:val="000000" w:themeColor="text1"/>
                <w:kern w:val="2"/>
                <w:sz w:val="24"/>
                <w:szCs w:val="24"/>
                <w:shd w:fill="auto" w:val="clear"/>
                <w:lang w:val="nb-NO" w:eastAsia="en-US" w:bidi="ar-SA"/>
              </w:rPr>
              <w:t>𝐷</w:t>
            </w:r>
            <w:bookmarkStart w:id="45" w:name="MathJax-Span-75"/>
            <w:bookmarkEnd w:id="45"/>
            <w:r>
              <w:rPr>
                <w:rFonts w:eastAsia="Calibri" w:cs=""/>
                <w:b w:val="false"/>
                <w:bCs w:val="false"/>
                <w:color w:val="000000" w:themeColor="text1"/>
                <w:kern w:val="2"/>
                <w:sz w:val="24"/>
                <w:szCs w:val="24"/>
                <w:shd w:fill="auto" w:val="clear"/>
                <w:lang w:val="nb-NO" w:eastAsia="en-US" w:bidi="ar-SA"/>
              </w:rPr>
              <w:t xml:space="preserve">2 er uavhengige. Finn den kombinerte standard usikkerheten til avstanden </w:t>
            </w:r>
            <w:bookmarkStart w:id="46" w:name="MathJax-Span-76"/>
            <w:bookmarkStart w:id="47" w:name="MathJax-Element-17-Frame"/>
            <w:bookmarkStart w:id="48" w:name="MathJax-Span-77"/>
            <w:bookmarkStart w:id="49" w:name="MathJax-Span-78"/>
            <w:bookmarkEnd w:id="46"/>
            <w:bookmarkEnd w:id="47"/>
            <w:bookmarkEnd w:id="48"/>
            <w:bookmarkEnd w:id="49"/>
            <w:r>
              <w:rPr>
                <w:rFonts w:eastAsia="Calibri" w:cs=""/>
                <w:b w:val="false"/>
                <w:bCs w:val="false"/>
                <w:color w:val="000000" w:themeColor="text1"/>
                <w:kern w:val="2"/>
                <w:sz w:val="24"/>
                <w:szCs w:val="24"/>
                <w:shd w:fill="auto" w:val="clear"/>
                <w:lang w:val="nb-NO" w:eastAsia="en-US" w:bidi="ar-SA"/>
              </w:rPr>
              <w:t>𝐷.</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shd w:fill="auto" w:val="clear"/>
                <w:lang w:val="nb-NO" w:eastAsia="en-US" w:bidi="ar-SA"/>
              </w:rPr>
              <w:t xml:space="preserve">Vi skal nå bruke lasaravstandsmåleren til å finne arealet </w:t>
            </w:r>
            <w:bookmarkStart w:id="50" w:name="MathJax-Span-578"/>
            <w:bookmarkStart w:id="51" w:name="MathJax-Element-92-Frame"/>
            <w:bookmarkStart w:id="52" w:name="MathJax-Span-579"/>
            <w:bookmarkStart w:id="53" w:name="MathJax-Span-577"/>
            <w:bookmarkEnd w:id="50"/>
            <w:bookmarkEnd w:id="51"/>
            <w:bookmarkEnd w:id="52"/>
            <w:bookmarkEnd w:id="53"/>
            <w:r>
              <w:rPr>
                <w:rFonts w:eastAsia="Calibri" w:cs=""/>
                <w:b w:val="false"/>
                <w:bCs w:val="false"/>
                <w:color w:val="000000" w:themeColor="text1"/>
                <w:kern w:val="2"/>
                <w:sz w:val="24"/>
                <w:szCs w:val="24"/>
                <w:shd w:fill="auto" w:val="clear"/>
                <w:lang w:val="nb-NO" w:eastAsia="en-US" w:bidi="ar-SA"/>
              </w:rPr>
              <w:t xml:space="preserve">𝐴 av et rektangel som har ukjent lengde </w:t>
            </w:r>
            <w:bookmarkStart w:id="54" w:name="MathJax-Span-580"/>
            <w:bookmarkStart w:id="55" w:name="MathJax-Span-582"/>
            <w:bookmarkStart w:id="56" w:name="MathJax-Span-581"/>
            <w:bookmarkStart w:id="57" w:name="MathJax-Element-93-Frame"/>
            <w:bookmarkEnd w:id="54"/>
            <w:bookmarkEnd w:id="55"/>
            <w:bookmarkEnd w:id="56"/>
            <w:bookmarkEnd w:id="57"/>
            <w:r>
              <w:rPr>
                <w:rFonts w:eastAsia="Calibri" w:cs=""/>
                <w:b w:val="false"/>
                <w:bCs w:val="false"/>
                <w:color w:val="000000" w:themeColor="text1"/>
                <w:kern w:val="2"/>
                <w:sz w:val="24"/>
                <w:szCs w:val="24"/>
                <w:shd w:fill="auto" w:val="clear"/>
                <w:lang w:val="nb-NO" w:eastAsia="en-US" w:bidi="ar-SA"/>
              </w:rPr>
              <w:t xml:space="preserve">𝑙, og ukjent bredde </w:t>
            </w:r>
            <w:bookmarkStart w:id="58" w:name="MathJax-Span-583"/>
            <w:bookmarkStart w:id="59" w:name="MathJax-Span-585"/>
            <w:bookmarkStart w:id="60" w:name="MathJax-Element-94-Frame"/>
            <w:bookmarkStart w:id="61" w:name="MathJax-Span-584"/>
            <w:bookmarkEnd w:id="58"/>
            <w:bookmarkEnd w:id="59"/>
            <w:bookmarkEnd w:id="60"/>
            <w:bookmarkEnd w:id="61"/>
            <w:r>
              <w:rPr>
                <w:rFonts w:eastAsia="Calibri" w:cs=""/>
                <w:b w:val="false"/>
                <w:bCs w:val="false"/>
                <w:color w:val="000000" w:themeColor="text1"/>
                <w:kern w:val="2"/>
                <w:sz w:val="24"/>
                <w:szCs w:val="24"/>
                <w:shd w:fill="auto" w:val="clear"/>
                <w:lang w:val="nb-NO" w:eastAsia="en-US" w:bidi="ar-SA"/>
              </w:rPr>
              <w:t xml:space="preserve">𝑏 (Figur 4). Anta for enkelthets skyld at lengde og bredde er mindre enn 40m. Sett opp målefunksjonen for arealet </w:t>
            </w:r>
            <w:bookmarkStart w:id="62" w:name="MathJax-Span-588"/>
            <w:bookmarkStart w:id="63" w:name="MathJax-Element-95-Frame"/>
            <w:bookmarkStart w:id="64" w:name="MathJax-Span-587"/>
            <w:bookmarkStart w:id="65" w:name="MathJax-Span-586"/>
            <w:bookmarkEnd w:id="62"/>
            <w:bookmarkEnd w:id="63"/>
            <w:bookmarkEnd w:id="64"/>
            <w:bookmarkEnd w:id="65"/>
            <w:r>
              <w:rPr>
                <w:rFonts w:eastAsia="Calibri" w:cs=""/>
                <w:b w:val="false"/>
                <w:bCs w:val="false"/>
                <w:color w:val="000000" w:themeColor="text1"/>
                <w:kern w:val="2"/>
                <w:sz w:val="24"/>
                <w:szCs w:val="24"/>
                <w:shd w:fill="auto" w:val="clear"/>
                <w:lang w:val="nb-NO" w:eastAsia="en-US" w:bidi="ar-SA"/>
              </w:rPr>
              <w:t xml:space="preserve">𝐴, finn følsomhetsfaktorene til de to del-målingene og finn et tilnærmet utrykk for den kombinerte standard usikkerheten til målingen av areal. Uttrykket skal inneholde </w:t>
            </w:r>
            <w:bookmarkStart w:id="66" w:name="MathJax-Span-591"/>
            <w:bookmarkStart w:id="67" w:name="MathJax-Span-590"/>
            <w:bookmarkStart w:id="68" w:name="MathJax-Span-589"/>
            <w:bookmarkStart w:id="69" w:name="MathJax-Element-96-Frame"/>
            <w:bookmarkEnd w:id="66"/>
            <w:bookmarkEnd w:id="67"/>
            <w:bookmarkEnd w:id="68"/>
            <w:bookmarkEnd w:id="69"/>
            <w:r>
              <w:rPr>
                <w:rFonts w:eastAsia="Calibri" w:cs=""/>
                <w:b w:val="false"/>
                <w:bCs w:val="false"/>
                <w:color w:val="000000" w:themeColor="text1"/>
                <w:kern w:val="2"/>
                <w:sz w:val="24"/>
                <w:szCs w:val="24"/>
                <w:shd w:fill="auto" w:val="clear"/>
                <w:lang w:val="nb-NO" w:eastAsia="en-US" w:bidi="ar-SA"/>
              </w:rPr>
              <w:t xml:space="preserve">𝑙, </w:t>
            </w:r>
            <w:bookmarkStart w:id="70" w:name="MathJax-Element-97-Frame"/>
            <w:bookmarkStart w:id="71" w:name="MathJax-Span-592"/>
            <w:bookmarkStart w:id="72" w:name="MathJax-Span-593"/>
            <w:bookmarkStart w:id="73" w:name="MathJax-Span-594"/>
            <w:bookmarkEnd w:id="70"/>
            <w:bookmarkEnd w:id="71"/>
            <w:bookmarkEnd w:id="72"/>
            <w:bookmarkEnd w:id="73"/>
            <w:r>
              <w:rPr>
                <w:rFonts w:eastAsia="Calibri" w:cs=""/>
                <w:b w:val="false"/>
                <w:bCs w:val="false"/>
                <w:color w:val="000000" w:themeColor="text1"/>
                <w:kern w:val="2"/>
                <w:sz w:val="24"/>
                <w:szCs w:val="24"/>
                <w:shd w:fill="auto" w:val="clear"/>
                <w:lang w:val="nb-NO" w:eastAsia="en-US" w:bidi="ar-SA"/>
              </w:rPr>
              <w:t xml:space="preserve">𝑏, </w:t>
            </w:r>
            <w:bookmarkStart w:id="74" w:name="MathJax-Span-599"/>
            <w:bookmarkEnd w:id="74"/>
            <w:r>
              <w:rPr>
                <w:rFonts w:eastAsia="Calibri" w:cs=""/>
                <w:b w:val="false"/>
                <w:bCs w:val="false"/>
                <w:color w:val="000000" w:themeColor="text1"/>
                <w:kern w:val="2"/>
                <w:sz w:val="24"/>
                <w:szCs w:val="24"/>
                <w:shd w:fill="auto" w:val="clear"/>
                <w:lang w:val="nb-NO" w:eastAsia="en-US" w:bidi="ar-SA"/>
              </w:rPr>
              <w:t>𝜎</w:t>
            </w:r>
            <w:r>
              <w:rPr>
                <w:rFonts w:eastAsia="Calibri" w:cs=""/>
                <w:b w:val="false"/>
                <w:bCs w:val="false"/>
                <w:color w:val="000000" w:themeColor="text1"/>
                <w:kern w:val="2"/>
                <w:sz w:val="24"/>
                <w:szCs w:val="24"/>
                <w:shd w:fill="auto" w:val="clear"/>
                <w:vertAlign w:val="subscript"/>
                <w:lang w:val="nb-NO" w:eastAsia="en-US" w:bidi="ar-SA"/>
              </w:rPr>
              <w:t>𝑙</w:t>
            </w:r>
            <w:r>
              <w:rPr>
                <w:rFonts w:eastAsia="Calibri" w:cs=""/>
                <w:b w:val="false"/>
                <w:bCs w:val="false"/>
                <w:color w:val="000000" w:themeColor="text1"/>
                <w:kern w:val="2"/>
                <w:sz w:val="24"/>
                <w:szCs w:val="24"/>
                <w:shd w:fill="auto" w:val="clear"/>
                <w:lang w:val="nb-NO" w:eastAsia="en-US" w:bidi="ar-SA"/>
              </w:rPr>
              <w:t xml:space="preserve"> og </w:t>
            </w:r>
            <w:bookmarkStart w:id="75" w:name="MathJax-Span-602"/>
            <w:bookmarkStart w:id="76" w:name="MathJax-Span-600"/>
            <w:bookmarkStart w:id="77" w:name="MathJax-Element-99-Frame"/>
            <w:bookmarkStart w:id="78" w:name="MathJax-Span-601"/>
            <w:bookmarkStart w:id="79" w:name="MathJax-Span-603"/>
            <w:bookmarkEnd w:id="75"/>
            <w:bookmarkEnd w:id="76"/>
            <w:bookmarkEnd w:id="77"/>
            <w:bookmarkEnd w:id="78"/>
            <w:bookmarkEnd w:id="79"/>
            <w:r>
              <w:rPr>
                <w:rFonts w:eastAsia="Calibri" w:cs=""/>
                <w:b w:val="false"/>
                <w:bCs w:val="false"/>
                <w:color w:val="000000" w:themeColor="text1"/>
                <w:kern w:val="2"/>
                <w:sz w:val="24"/>
                <w:szCs w:val="24"/>
                <w:shd w:fill="auto" w:val="clear"/>
                <w:lang w:val="nb-NO" w:eastAsia="en-US" w:bidi="ar-SA"/>
              </w:rPr>
              <w:t>𝜎</w:t>
            </w:r>
            <w:bookmarkStart w:id="80" w:name="MathJax-Span-604"/>
            <w:bookmarkEnd w:id="80"/>
            <w:r>
              <w:rPr>
                <w:rFonts w:eastAsia="Calibri" w:cs=""/>
                <w:b w:val="false"/>
                <w:bCs w:val="false"/>
                <w:color w:val="000000" w:themeColor="text1"/>
                <w:kern w:val="2"/>
                <w:sz w:val="24"/>
                <w:szCs w:val="24"/>
                <w:shd w:fill="auto" w:val="clear"/>
                <w:vertAlign w:val="subscript"/>
                <w:lang w:val="nb-NO" w:eastAsia="en-US" w:bidi="ar-SA"/>
              </w:rPr>
              <w:t>𝑏</w:t>
            </w:r>
            <w:r>
              <w:rPr>
                <w:rFonts w:eastAsia="Calibri" w:cs=""/>
                <w:b w:val="false"/>
                <w:bCs w:val="false"/>
                <w:color w:val="000000" w:themeColor="text1"/>
                <w:kern w:val="2"/>
                <w:sz w:val="24"/>
                <w:szCs w:val="24"/>
                <w:shd w:fill="auto" w:val="clear"/>
                <w:lang w:val="nb-NO" w:eastAsia="en-US" w:bidi="ar-SA"/>
              </w:rPr>
              <w:t xml:space="preserve">, der </w:t>
            </w:r>
            <w:bookmarkStart w:id="81" w:name="MathJax-Span-605"/>
            <w:bookmarkStart w:id="82" w:name="MathJax-Span-608"/>
            <w:bookmarkStart w:id="83" w:name="MathJax-Span-607"/>
            <w:bookmarkStart w:id="84" w:name="MathJax-Element-100-Frame"/>
            <w:bookmarkStart w:id="85" w:name="MathJax-Span-606"/>
            <w:bookmarkEnd w:id="81"/>
            <w:bookmarkEnd w:id="82"/>
            <w:bookmarkEnd w:id="83"/>
            <w:bookmarkEnd w:id="84"/>
            <w:bookmarkEnd w:id="85"/>
            <w:r>
              <w:rPr>
                <w:rFonts w:eastAsia="Calibri" w:cs=""/>
                <w:b w:val="false"/>
                <w:bCs w:val="false"/>
                <w:color w:val="000000" w:themeColor="text1"/>
                <w:kern w:val="2"/>
                <w:sz w:val="24"/>
                <w:szCs w:val="24"/>
                <w:shd w:fill="auto" w:val="clear"/>
                <w:lang w:val="nb-NO" w:eastAsia="en-US" w:bidi="ar-SA"/>
              </w:rPr>
              <w:t>𝜎</w:t>
            </w:r>
            <w:bookmarkStart w:id="86" w:name="MathJax-Span-609"/>
            <w:bookmarkEnd w:id="86"/>
            <w:r>
              <w:rPr>
                <w:rFonts w:eastAsia="Calibri" w:cs=""/>
                <w:b w:val="false"/>
                <w:bCs w:val="false"/>
                <w:color w:val="000000" w:themeColor="text1"/>
                <w:kern w:val="2"/>
                <w:sz w:val="24"/>
                <w:szCs w:val="24"/>
                <w:shd w:fill="auto" w:val="clear"/>
                <w:vertAlign w:val="subscript"/>
                <w:lang w:val="nb-NO" w:eastAsia="en-US" w:bidi="ar-SA"/>
              </w:rPr>
              <w:t>𝑙</w:t>
            </w:r>
            <w:r>
              <w:rPr>
                <w:rFonts w:eastAsia="Calibri" w:cs=""/>
                <w:b w:val="false"/>
                <w:bCs w:val="false"/>
                <w:color w:val="000000" w:themeColor="text1"/>
                <w:kern w:val="2"/>
                <w:sz w:val="24"/>
                <w:szCs w:val="24"/>
                <w:shd w:fill="auto" w:val="clear"/>
                <w:lang w:val="nb-NO" w:eastAsia="en-US" w:bidi="ar-SA"/>
              </w:rPr>
              <w:t xml:space="preserve"> og </w:t>
            </w:r>
            <w:bookmarkStart w:id="87" w:name="MathJax-Span-611"/>
            <w:bookmarkStart w:id="88" w:name="MathJax-Span-613"/>
            <w:bookmarkStart w:id="89" w:name="MathJax-Span-610"/>
            <w:bookmarkStart w:id="90" w:name="MathJax-Span-612"/>
            <w:bookmarkStart w:id="91" w:name="MathJax-Element-101-Frame"/>
            <w:bookmarkEnd w:id="87"/>
            <w:bookmarkEnd w:id="88"/>
            <w:bookmarkEnd w:id="89"/>
            <w:bookmarkEnd w:id="90"/>
            <w:bookmarkEnd w:id="91"/>
            <w:r>
              <w:rPr>
                <w:rFonts w:eastAsia="Calibri" w:cs=""/>
                <w:b w:val="false"/>
                <w:bCs w:val="false"/>
                <w:color w:val="000000" w:themeColor="text1"/>
                <w:kern w:val="2"/>
                <w:sz w:val="24"/>
                <w:szCs w:val="24"/>
                <w:shd w:fill="auto" w:val="clear"/>
                <w:lang w:val="nb-NO" w:eastAsia="en-US" w:bidi="ar-SA"/>
              </w:rPr>
              <w:t>𝜎</w:t>
            </w:r>
            <w:bookmarkStart w:id="92" w:name="MathJax-Span-614"/>
            <w:bookmarkEnd w:id="92"/>
            <w:r>
              <w:rPr>
                <w:rFonts w:eastAsia="Calibri" w:cs=""/>
                <w:b w:val="false"/>
                <w:bCs w:val="false"/>
                <w:color w:val="000000" w:themeColor="text1"/>
                <w:kern w:val="2"/>
                <w:sz w:val="24"/>
                <w:szCs w:val="24"/>
                <w:shd w:fill="auto" w:val="clear"/>
                <w:vertAlign w:val="subscript"/>
                <w:lang w:val="nb-NO" w:eastAsia="en-US" w:bidi="ar-SA"/>
              </w:rPr>
              <w:t>𝑏</w:t>
            </w:r>
            <w:r>
              <w:rPr>
                <w:rFonts w:eastAsia="Calibri" w:cs=""/>
                <w:b w:val="false"/>
                <w:bCs w:val="false"/>
                <w:color w:val="000000" w:themeColor="text1"/>
                <w:kern w:val="2"/>
                <w:sz w:val="24"/>
                <w:szCs w:val="24"/>
                <w:shd w:fill="auto" w:val="clear"/>
                <w:lang w:val="nb-NO" w:eastAsia="en-US" w:bidi="ar-SA"/>
              </w:rPr>
              <w:t xml:space="preserve"> er standard usikkerhet i målinger av lengde og bredde, henholdsvis. </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3d)</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I et rektangel som er langt og smalt, som i Figur 4, vil usikkerheten i lengden eller bredden gi størst påvirkning på den kombinerte standard usikkerheten til arealet til rektangelet? Begrunn svaret i maks 2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3e)</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 xml:space="preserve">For rektangelet som er vist i Figur 4, anta </w:t>
            </w:r>
            <w:bookmarkStart w:id="93" w:name="MathJax-Span-883"/>
            <w:bookmarkStart w:id="94" w:name="MathJax-Span-884"/>
            <w:bookmarkStart w:id="95" w:name="MathJax-Element-168-Frame"/>
            <w:bookmarkStart w:id="96" w:name="MathJax-Span-882"/>
            <w:bookmarkEnd w:id="93"/>
            <w:bookmarkEnd w:id="94"/>
            <w:bookmarkEnd w:id="95"/>
            <w:bookmarkEnd w:id="96"/>
            <w:r>
              <w:rPr>
                <w:rFonts w:eastAsia="Calibri" w:cs=""/>
                <w:b w:val="false"/>
                <w:bCs w:val="false"/>
                <w:color w:val="000000" w:themeColor="text1"/>
                <w:kern w:val="2"/>
                <w:sz w:val="24"/>
                <w:szCs w:val="24"/>
                <w:shd w:fill="auto" w:val="clear"/>
                <w:lang w:val="nb-NO" w:eastAsia="en-US" w:bidi="ar-SA"/>
              </w:rPr>
              <w:t>𝑏</w:t>
            </w:r>
            <w:bookmarkStart w:id="97" w:name="MathJax-Span-885"/>
            <w:bookmarkEnd w:id="97"/>
            <w:r>
              <w:rPr>
                <w:rFonts w:eastAsia="Calibri" w:cs=""/>
                <w:b w:val="false"/>
                <w:bCs w:val="false"/>
                <w:color w:val="000000" w:themeColor="text1"/>
                <w:kern w:val="2"/>
                <w:sz w:val="24"/>
                <w:szCs w:val="24"/>
                <w:shd w:fill="auto" w:val="clear"/>
                <w:lang w:val="nb-NO" w:eastAsia="en-US" w:bidi="ar-SA"/>
              </w:rPr>
              <w:t>=</w:t>
            </w:r>
            <w:bookmarkStart w:id="98" w:name="MathJax-Span-886"/>
            <w:bookmarkEnd w:id="98"/>
            <w:r>
              <w:rPr>
                <w:rFonts w:eastAsia="Calibri" w:cs=""/>
                <w:b w:val="false"/>
                <w:bCs w:val="false"/>
                <w:color w:val="000000" w:themeColor="text1"/>
                <w:kern w:val="2"/>
                <w:sz w:val="24"/>
                <w:szCs w:val="24"/>
                <w:shd w:fill="auto" w:val="clear"/>
                <w:lang w:val="nb-NO" w:eastAsia="en-US" w:bidi="ar-SA"/>
              </w:rPr>
              <w:t>2</w:t>
            </w:r>
            <w:bookmarkStart w:id="99" w:name="MathJax-Span-887"/>
            <w:bookmarkEnd w:id="99"/>
            <w:r>
              <w:rPr>
                <w:rFonts w:eastAsia="Calibri" w:cs=""/>
                <w:b w:val="false"/>
                <w:bCs w:val="false"/>
                <w:color w:val="000000" w:themeColor="text1"/>
                <w:kern w:val="2"/>
                <w:sz w:val="24"/>
                <w:szCs w:val="24"/>
                <w:shd w:fill="auto" w:val="clear"/>
                <w:lang w:val="nb-NO" w:eastAsia="en-US" w:bidi="ar-SA"/>
              </w:rPr>
              <w:t>m</w:t>
            </w:r>
            <w:bookmarkStart w:id="100" w:name="MathJax-Span-888"/>
            <w:bookmarkEnd w:id="100"/>
            <w:r>
              <w:rPr>
                <w:rFonts w:eastAsia="Calibri" w:cs=""/>
                <w:b w:val="false"/>
                <w:bCs w:val="false"/>
                <w:color w:val="000000" w:themeColor="text1"/>
                <w:kern w:val="2"/>
                <w:sz w:val="24"/>
                <w:szCs w:val="24"/>
                <w:shd w:fill="auto" w:val="clear"/>
                <w:lang w:val="nb-NO" w:eastAsia="en-US" w:bidi="ar-SA"/>
              </w:rPr>
              <w:t>,</w:t>
            </w:r>
            <w:bookmarkStart w:id="101" w:name="MathJax-Span-889"/>
            <w:bookmarkEnd w:id="101"/>
            <w:r>
              <w:rPr>
                <w:rFonts w:eastAsia="Calibri" w:cs=""/>
                <w:b w:val="false"/>
                <w:bCs w:val="false"/>
                <w:color w:val="000000" w:themeColor="text1"/>
                <w:kern w:val="2"/>
                <w:sz w:val="24"/>
                <w:szCs w:val="24"/>
                <w:shd w:fill="auto" w:val="clear"/>
                <w:lang w:val="nb-NO" w:eastAsia="en-US" w:bidi="ar-SA"/>
              </w:rPr>
              <w:t>𝑙</w:t>
            </w:r>
            <w:bookmarkStart w:id="102" w:name="MathJax-Span-890"/>
            <w:bookmarkEnd w:id="102"/>
            <w:r>
              <w:rPr>
                <w:rFonts w:eastAsia="Calibri" w:cs=""/>
                <w:b w:val="false"/>
                <w:bCs w:val="false"/>
                <w:color w:val="000000" w:themeColor="text1"/>
                <w:kern w:val="2"/>
                <w:sz w:val="24"/>
                <w:szCs w:val="24"/>
                <w:shd w:fill="auto" w:val="clear"/>
                <w:lang w:val="nb-NO" w:eastAsia="en-US" w:bidi="ar-SA"/>
              </w:rPr>
              <w:t>=</w:t>
            </w:r>
            <w:bookmarkStart w:id="103" w:name="MathJax-Span-891"/>
            <w:bookmarkEnd w:id="103"/>
            <w:r>
              <w:rPr>
                <w:rFonts w:eastAsia="Calibri" w:cs=""/>
                <w:b w:val="false"/>
                <w:bCs w:val="false"/>
                <w:color w:val="000000" w:themeColor="text1"/>
                <w:kern w:val="2"/>
                <w:sz w:val="24"/>
                <w:szCs w:val="24"/>
                <w:shd w:fill="auto" w:val="clear"/>
                <w:lang w:val="nb-NO" w:eastAsia="en-US" w:bidi="ar-SA"/>
              </w:rPr>
              <w:t>20</w:t>
            </w:r>
            <w:bookmarkStart w:id="104" w:name="MathJax-Span-892"/>
            <w:bookmarkEnd w:id="104"/>
            <w:r>
              <w:rPr>
                <w:rFonts w:eastAsia="Calibri" w:cs=""/>
                <w:b w:val="false"/>
                <w:bCs w:val="false"/>
                <w:color w:val="000000" w:themeColor="text1"/>
                <w:kern w:val="2"/>
                <w:sz w:val="24"/>
                <w:szCs w:val="24"/>
                <w:shd w:fill="auto" w:val="clear"/>
                <w:lang w:val="nb-NO" w:eastAsia="en-US" w:bidi="ar-SA"/>
              </w:rPr>
              <w:t>m. Finn den kombinerte standard usikkerheten for arealet målt med lasaravstandsmåleren fra Figur 2.</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4</w:t>
      </w:r>
    </w:p>
    <w:p>
      <w:pPr>
        <w:pStyle w:val="Normal"/>
        <w:rPr/>
      </w:pPr>
      <w:r>
        <w:rPr/>
        <w:t>Husk: I denen oppgaven teller begge a) og b) doppelt så mye som deloppgavene i de andre oppgavene, fordi de er mer tidskrevende.</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4a)</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Ettersom de færreste har en steglengde på nøyaktig 1m må hver gruppedeltakers steglengde kalibreres mot en meterstokk eller en annen gjenstand med kjent lengde. Mål opp steglengde 10 ganger for hvert gruppemedlem og regn ut gjennomsnitt og standardavvik for hver person.</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4b)</w:t>
            </w:r>
          </w:p>
        </w:tc>
        <w:tc>
          <w:tcPr>
            <w:tcW w:w="8173" w:type="dxa"/>
            <w:tcBorders>
              <w:top w:val="single" w:sz="4" w:space="0" w:color="5B9BD5"/>
              <w:left w:val="single" w:sz="4" w:space="0" w:color="5B9BD5"/>
              <w:bottom w:val="single" w:sz="4" w:space="0" w:color="5B9BD5"/>
              <w:right w:val="single" w:sz="4" w:space="0" w:color="5B9BD5"/>
            </w:tcBorders>
            <w:shd w:color="auto" w:fill="DEEAF6" w:themeFill="accent5"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color w:val="000000" w:themeColor="text1"/>
                <w:lang w:val="nb-NO"/>
              </w:rPr>
            </w:pPr>
            <w:r>
              <w:rPr>
                <w:rFonts w:eastAsia="Calibri" w:cs=""/>
                <w:b w:val="false"/>
                <w:bCs w:val="false"/>
                <w:color w:val="000000" w:themeColor="text1"/>
                <w:kern w:val="2"/>
                <w:sz w:val="24"/>
                <w:szCs w:val="24"/>
                <w:lang w:val="nb-NO" w:eastAsia="en-US" w:bidi="ar-SA"/>
              </w:rPr>
              <w:t xml:space="preserve"> </w:t>
            </w:r>
            <w:r>
              <w:rPr>
                <w:rFonts w:eastAsia="Calibri" w:cs=""/>
                <w:b w:val="false"/>
                <w:bCs w:val="false"/>
                <w:color w:val="000000" w:themeColor="text1"/>
                <w:kern w:val="2"/>
                <w:sz w:val="24"/>
                <w:szCs w:val="24"/>
                <w:lang w:val="nb-NO" w:eastAsia="en-US" w:bidi="ar-SA"/>
              </w:rPr>
              <w:t>Nå skal dere måle en avstand. Velg en rute mellom to punkter, helst et godt stykke. Hvert gruppemedlem går så ruten én etter én, og teller antall skritt (med en stegteller eller manuell telling). Finn et estimat på lengden til ruta dere valgte i meter, basert på på de kalibrerte steglengdene deres og antall steg. Oppgi selve estimatet og usikkerheten i estimatet. Vis utregninger.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TextBody"/>
        <w:rPr/>
      </w:pPr>
      <w:r>
        <w:rPr>
          <w:b/>
          <w:bCs/>
          <w:sz w:val="28"/>
          <w:szCs w:val="28"/>
        </w:rPr>
        <w:t>Oppgave 5</w:t>
      </w:r>
    </w:p>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highlight w:val="none"/>
                <w:shd w:fill="auto" w:val="clear"/>
                <w:lang w:val="nb-NO" w:eastAsia="en-US" w:bidi="ar-SA"/>
              </w:rPr>
            </w:pPr>
            <w:r>
              <w:rPr>
                <w:rFonts w:eastAsia="Calibri" w:cs=""/>
                <w:b/>
                <w:bCs/>
                <w:color w:val="000000" w:themeColor="text1"/>
                <w:kern w:val="2"/>
                <w:sz w:val="24"/>
                <w:szCs w:val="24"/>
                <w:shd w:fill="auto" w:val="clear"/>
                <w:lang w:val="nb-NO" w:eastAsia="en-US" w:bidi="ar-SA"/>
              </w:rPr>
              <w:t>5a)</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themeColor="text1"/>
                <w:kern w:val="2"/>
                <w:sz w:val="24"/>
                <w:szCs w:val="24"/>
                <w:highlight w:val="none"/>
                <w:shd w:fill="auto" w:val="clear"/>
                <w:lang w:val="nb-NO" w:eastAsia="en-US" w:bidi="ar-SA"/>
              </w:rPr>
            </w:pPr>
            <w:r>
              <w:rPr>
                <w:rFonts w:eastAsia="Calibri" w:cs=""/>
                <w:b w:val="false"/>
                <w:bCs w:val="false"/>
                <w:color w:val="000000" w:themeColor="text1"/>
                <w:kern w:val="2"/>
                <w:sz w:val="24"/>
                <w:szCs w:val="24"/>
                <w:shd w:fill="auto" w:val="clear"/>
                <w:lang w:val="nb-NO" w:eastAsia="en-US" w:bidi="ar-SA"/>
              </w:rPr>
              <w:t>Vi har plottet regresjonslinjene til de to modellene over. Hvordan vil du forklare forskjellen i stigningstallene til de to regresjonslinjene? Svar med maks 3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lang w:val="nb-NO" w:eastAsia="en-US" w:bidi="ar-SA"/>
              </w:rPr>
            </w:pPr>
            <w:r>
              <w:rPr>
                <w:rFonts w:eastAsia="Calibri" w:cs=""/>
                <w:b/>
                <w:bCs/>
                <w:color w:val="000000" w:themeColor="text1"/>
                <w:kern w:val="2"/>
                <w:sz w:val="24"/>
                <w:szCs w:val="24"/>
                <w:lang w:val="nb-NO" w:eastAsia="en-US" w:bidi="ar-SA"/>
              </w:rPr>
              <w:t>5b)</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Vi jobber nå videre med modellen som har gjennomsnittet av fem målinger som kovariat. Hva vil estimatet på målefeilvariansen i denne kovariaten være, dersom estimatet </w:t>
            </w:r>
            <w:bookmarkStart w:id="105" w:name="MathJax-Span-277"/>
            <w:bookmarkStart w:id="106" w:name="MathJax-Span-279"/>
            <w:bookmarkStart w:id="107" w:name="MathJax-Element-46-Frame"/>
            <w:bookmarkStart w:id="108" w:name="MathJax-Span-278"/>
            <w:bookmarkStart w:id="109" w:name="MathJax-Span-281"/>
            <w:bookmarkStart w:id="110" w:name="MathJax-Span-283"/>
            <w:bookmarkStart w:id="111" w:name="MathJax-Span-282"/>
            <w:bookmarkStart w:id="112" w:name="MathJax-Span-280"/>
            <w:bookmarkEnd w:id="105"/>
            <w:bookmarkEnd w:id="106"/>
            <w:bookmarkEnd w:id="107"/>
            <w:bookmarkEnd w:id="108"/>
            <w:bookmarkEnd w:id="109"/>
            <w:bookmarkEnd w:id="110"/>
            <w:bookmarkEnd w:id="111"/>
            <w:bookmarkEnd w:id="112"/>
            <w:r>
              <w:rPr>
                <w:rFonts w:eastAsia="Calibri" w:cs=""/>
                <w:b w:val="false"/>
                <w:bCs w:val="false"/>
                <w:color w:val="000000" w:themeColor="text1"/>
                <w:kern w:val="2"/>
                <w:sz w:val="24"/>
                <w:szCs w:val="24"/>
                <w:lang w:val="nb-NO" w:eastAsia="en-US" w:bidi="ar-SA"/>
              </w:rPr>
              <w:t>𝜎</w:t>
            </w:r>
            <w:bookmarkStart w:id="113" w:name="MathJax-Span-284"/>
            <w:bookmarkEnd w:id="113"/>
            <w:r>
              <w:rPr>
                <w:rFonts w:eastAsia="Calibri" w:cs=""/>
                <w:b w:val="false"/>
                <w:bCs w:val="false"/>
                <w:color w:val="000000" w:themeColor="text1"/>
                <w:kern w:val="2"/>
                <w:sz w:val="24"/>
                <w:szCs w:val="24"/>
                <w:lang w:val="nb-NO" w:eastAsia="en-US" w:bidi="ar-SA"/>
              </w:rPr>
              <w:t>̂</w:t>
            </w:r>
            <w:r>
              <w:rPr>
                <w:rFonts w:eastAsia="Calibri" w:cs=""/>
                <w:b w:val="false"/>
                <w:bCs w:val="false"/>
                <w:color w:val="000000" w:themeColor="text1"/>
                <w:kern w:val="2"/>
                <w:sz w:val="24"/>
                <w:szCs w:val="24"/>
                <w:vertAlign w:val="superscript"/>
                <w:lang w:val="nb-NO" w:eastAsia="en-US" w:bidi="ar-SA"/>
              </w:rPr>
              <w:t> </w:t>
            </w:r>
            <w:bookmarkStart w:id="114" w:name="MathJax-Span-285"/>
            <w:bookmarkEnd w:id="114"/>
            <w:r>
              <w:rPr>
                <w:rFonts w:eastAsia="Calibri" w:cs="" w:ascii="STIXMathJax Main" w:hAnsi="STIXMathJax Main"/>
                <w:b w:val="false"/>
                <w:bCs w:val="false"/>
                <w:color w:val="000000" w:themeColor="text1"/>
                <w:kern w:val="2"/>
                <w:sz w:val="24"/>
                <w:szCs w:val="24"/>
                <w:vertAlign w:val="superscript"/>
                <w:lang w:val="nb-NO" w:eastAsia="en-US" w:bidi="ar-SA"/>
              </w:rPr>
              <w:t>2</w:t>
            </w:r>
            <w:bookmarkStart w:id="115" w:name="MathJax-Span-286"/>
            <w:bookmarkEnd w:id="115"/>
            <w:r>
              <w:rPr>
                <w:rFonts w:eastAsia="Calibri" w:cs=""/>
                <w:b w:val="false"/>
                <w:bCs w:val="false"/>
                <w:color w:val="000000" w:themeColor="text1"/>
                <w:kern w:val="2"/>
                <w:sz w:val="24"/>
                <w:szCs w:val="24"/>
                <w:vertAlign w:val="subscript"/>
                <w:lang w:val="nb-NO" w:eastAsia="en-US" w:bidi="ar-SA"/>
              </w:rPr>
              <w:t>𝑢</w:t>
            </w:r>
            <w:r>
              <w:rPr>
                <w:rFonts w:eastAsia="Calibri" w:cs=""/>
                <w:b w:val="false"/>
                <w:bCs w:val="false"/>
                <w:color w:val="000000" w:themeColor="text1"/>
                <w:kern w:val="2"/>
                <w:sz w:val="24"/>
                <w:szCs w:val="24"/>
                <w:lang w:val="nb-NO" w:eastAsia="en-US" w:bidi="ar-SA"/>
              </w:rPr>
              <w:t xml:space="preserve"> er målefeilvariansen i en enkeltmåling? Du må fylle inn riktig kode (gjerne fyll inn koden du brukte, plus svaret du ser).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tbl>
      <w:tblPr>
        <w:tblStyle w:val="GridTable4-Accent5"/>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nil"/>
            </w:tcBorders>
            <w:shd w:fill="E2EFD9" w:val="clear"/>
          </w:tcPr>
          <w:p>
            <w:pPr>
              <w:pStyle w:val="Normal"/>
              <w:widowControl w:val="false"/>
              <w:suppressAutoHyphens w:val="true"/>
              <w:spacing w:before="0" w:after="0"/>
              <w:jc w:val="left"/>
              <w:rPr>
                <w:rFonts w:ascii="Calibri" w:hAnsi="Calibri" w:eastAsia="Calibri" w:cs=""/>
                <w:color w:val="000000" w:themeColor="text1"/>
                <w:kern w:val="2"/>
                <w:sz w:val="24"/>
                <w:szCs w:val="24"/>
                <w:lang w:val="nb-NO" w:eastAsia="en-US" w:bidi="ar-SA"/>
              </w:rPr>
            </w:pPr>
            <w:r>
              <w:rPr>
                <w:rFonts w:eastAsia="Calibri" w:cs=""/>
                <w:b/>
                <w:bCs/>
                <w:color w:val="000000" w:themeColor="text1"/>
                <w:kern w:val="2"/>
                <w:sz w:val="24"/>
                <w:szCs w:val="24"/>
                <w:lang w:val="nb-NO" w:eastAsia="en-US" w:bidi="ar-SA"/>
              </w:rPr>
              <w:t>5c)</w:t>
            </w:r>
          </w:p>
        </w:tc>
        <w:tc>
          <w:tcPr>
            <w:tcW w:w="8173" w:type="dxa"/>
            <w:tcBorders>
              <w:top w:val="single" w:sz="4" w:space="0" w:color="70AD47"/>
              <w:left w:val="single" w:sz="4" w:space="0" w:color="70AD47"/>
              <w:bottom w:val="single" w:sz="4" w:space="0" w:color="70AD47"/>
              <w:right w:val="single" w:sz="4" w:space="0" w:color="70AD47"/>
            </w:tcBorders>
            <w:shd w:fill="E2EFD9"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I forelesningene lærte vi en fremgangsmåte vi kan bruke for å ta høyde for målefeil i kovariater i lineær regresjon ved hjelp av en såkalt "attenueringsfaktor" </w:t>
            </w:r>
            <w:bookmarkStart w:id="116" w:name="MathJax-Span-300"/>
            <w:bookmarkStart w:id="117" w:name="MathJax-Span-299"/>
            <w:bookmarkStart w:id="118" w:name="MathJax-Span-301"/>
            <w:bookmarkStart w:id="119" w:name="MathJax-Element-48-Frame"/>
            <w:bookmarkEnd w:id="116"/>
            <w:bookmarkEnd w:id="117"/>
            <w:bookmarkEnd w:id="118"/>
            <w:bookmarkEnd w:id="119"/>
            <w:r>
              <w:rPr>
                <w:rFonts w:eastAsia="Calibri" w:cs=""/>
                <w:b w:val="false"/>
                <w:bCs w:val="false"/>
                <w:color w:val="000000" w:themeColor="text1"/>
                <w:kern w:val="2"/>
                <w:sz w:val="24"/>
                <w:szCs w:val="24"/>
                <w:lang w:val="nb-NO" w:eastAsia="en-US" w:bidi="ar-SA"/>
              </w:rPr>
              <w:t xml:space="preserve">𝜆, som sier hvor mye stigningstallet blir redusert pga målefeil. Bruk denne metoden til å finne et estimat for den "korrekte" koeffisienten </w:t>
            </w:r>
            <w:bookmarkStart w:id="120" w:name="MathJax-Span-305"/>
            <w:bookmarkStart w:id="121" w:name="MathJax-Span-304"/>
            <w:bookmarkStart w:id="122" w:name="MathJax-Span-303"/>
            <w:bookmarkStart w:id="123" w:name="MathJax-Span-302"/>
            <w:bookmarkStart w:id="124" w:name="MathJax-Element-49-Frame"/>
            <w:bookmarkEnd w:id="120"/>
            <w:bookmarkEnd w:id="121"/>
            <w:bookmarkEnd w:id="122"/>
            <w:bookmarkEnd w:id="123"/>
            <w:bookmarkEnd w:id="124"/>
            <w:r>
              <w:rPr>
                <w:rFonts w:eastAsia="Calibri" w:cs=""/>
                <w:b w:val="false"/>
                <w:bCs w:val="false"/>
                <w:color w:val="000000" w:themeColor="text1"/>
                <w:kern w:val="2"/>
                <w:sz w:val="24"/>
                <w:szCs w:val="24"/>
                <w:lang w:val="nb-NO" w:eastAsia="en-US" w:bidi="ar-SA"/>
              </w:rPr>
              <w:t>𝛽</w:t>
            </w:r>
            <w:bookmarkStart w:id="125" w:name="MathJax-Span-306"/>
            <w:bookmarkEnd w:id="125"/>
            <w:r>
              <w:rPr>
                <w:rFonts w:eastAsia="Calibri" w:cs=""/>
                <w:b w:val="false"/>
                <w:bCs w:val="false"/>
                <w:color w:val="000000" w:themeColor="text1"/>
                <w:kern w:val="2"/>
                <w:sz w:val="24"/>
                <w:szCs w:val="24"/>
                <w:vertAlign w:val="subscript"/>
                <w:lang w:val="nb-NO" w:eastAsia="en-US" w:bidi="ar-SA"/>
              </w:rPr>
              <w:t>𝑥</w:t>
            </w:r>
            <w:r>
              <w:rPr>
                <w:rFonts w:eastAsia="Calibri" w:cs=""/>
                <w:b w:val="false"/>
                <w:bCs w:val="false"/>
                <w:color w:val="000000" w:themeColor="text1"/>
                <w:kern w:val="2"/>
                <w:sz w:val="24"/>
                <w:szCs w:val="24"/>
                <w:lang w:val="nb-NO" w:eastAsia="en-US" w:bidi="ar-SA"/>
              </w:rPr>
              <w:t>. Start med estimaten du får fra modellen med gjennomsnittet av målingene som kovariat, ved å gjøre passende endringer i koden.</w:t>
            </w:r>
          </w:p>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val="false"/>
                <w:b w:val="false"/>
                <w:bCs w:val="false"/>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t>Attenueringsfaktor:</w:t>
            </w:r>
          </w:p>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color w:val="000000" w:themeColor="text1"/>
                <w:kern w:val="2"/>
                <w:sz w:val="24"/>
                <w:szCs w:val="24"/>
                <w:lang w:val="nb-NO" w:eastAsia="en-US" w:bidi="ar-SA"/>
              </w:rPr>
            </w:pPr>
            <w:r>
              <w:rPr>
                <w:rFonts w:eastAsia="Calibri" w:cs=""/>
                <w:b w:val="false"/>
                <w:bCs w:val="false"/>
                <w:color w:val="000000" w:themeColor="text1"/>
                <w:kern w:val="2"/>
                <w:sz w:val="24"/>
                <w:szCs w:val="24"/>
                <w:lang w:val="nb-NO" w:eastAsia="en-US" w:bidi="ar-SA"/>
              </w:rPr>
              <w:t>Justert estimat:</w:t>
            </w:r>
          </w:p>
        </w:tc>
      </w:tr>
    </w:tbl>
    <w:p>
      <w:pPr>
        <w:pStyle w:val="Normal"/>
        <w:rPr/>
      </w:pPr>
      <w:r>
        <w:rPr/>
      </w:r>
    </w:p>
    <w:p>
      <w:pPr>
        <w:pStyle w:val="Normal"/>
        <w:rPr/>
      </w:pPr>
      <w:r>
        <w:rPr/>
      </w:r>
    </w:p>
    <w:tbl>
      <w:tblPr>
        <w:tblStyle w:val="GridTable4-Accent6"/>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5d)</w:t>
            </w:r>
          </w:p>
        </w:tc>
        <w:tc>
          <w:tcPr>
            <w:tcW w:w="8173" w:type="dxa"/>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
                <w:b w:val="false"/>
                <w:bCs w:val="false"/>
                <w:color w:val="000000" w:themeColor="text1"/>
                <w:kern w:val="2"/>
                <w:sz w:val="24"/>
                <w:szCs w:val="24"/>
                <w:lang w:val="nb-NO" w:eastAsia="en-US" w:bidi="ar-SA"/>
              </w:rPr>
              <w:t xml:space="preserve">En annen, mer heuristisk metode vi har lært som tar høyde for målefeil i kovariatene er "Simex," eller "simuleringsekstrapolering". Under har vi implementert Simex-algoritmen for reaksjonstid-modellen, fortsatt med gjennomsnittet av de fem målingene som kovariat. Forklar kort hvordan Simex fungerer (maks 5 setninger). Gjør også den nødvendige endringen i koden for å finne simex-estimatet på </w:t>
            </w:r>
            <w:bookmarkStart w:id="126" w:name="MathJax-Span-399"/>
            <w:bookmarkStart w:id="127" w:name="MathJax-Span-398"/>
            <w:bookmarkStart w:id="128" w:name="MathJax-Span-397"/>
            <w:bookmarkStart w:id="129" w:name="MathJax-Span-396"/>
            <w:bookmarkStart w:id="130" w:name="MathJax-Element-60-Frame"/>
            <w:bookmarkEnd w:id="126"/>
            <w:bookmarkEnd w:id="127"/>
            <w:bookmarkEnd w:id="128"/>
            <w:bookmarkEnd w:id="129"/>
            <w:bookmarkEnd w:id="130"/>
            <w:r>
              <w:rPr>
                <w:rFonts w:eastAsia="Calibri" w:cs=""/>
                <w:b w:val="false"/>
                <w:bCs w:val="false"/>
                <w:color w:val="000000" w:themeColor="text1"/>
                <w:kern w:val="2"/>
                <w:sz w:val="24"/>
                <w:szCs w:val="24"/>
                <w:lang w:val="nb-NO" w:eastAsia="en-US" w:bidi="ar-SA"/>
              </w:rPr>
              <w:t>𝛽</w:t>
            </w:r>
            <w:bookmarkStart w:id="131" w:name="MathJax-Span-400"/>
            <w:bookmarkEnd w:id="131"/>
            <w:r>
              <w:rPr>
                <w:rFonts w:eastAsia="Calibri" w:cs=""/>
                <w:b w:val="false"/>
                <w:bCs w:val="false"/>
                <w:color w:val="000000" w:themeColor="text1"/>
                <w:kern w:val="2"/>
                <w:sz w:val="24"/>
                <w:szCs w:val="24"/>
                <w:vertAlign w:val="subscript"/>
                <w:lang w:val="nb-NO" w:eastAsia="en-US" w:bidi="ar-SA"/>
              </w:rPr>
              <w:t>𝑥</w:t>
            </w:r>
            <w:r>
              <w:rPr>
                <w:rFonts w:eastAsia="Calibri" w:cs=""/>
                <w:b w:val="false"/>
                <w:bCs w:val="false"/>
                <w:color w:val="000000" w:themeColor="text1"/>
                <w:kern w:val="2"/>
                <w:sz w:val="24"/>
                <w:szCs w:val="24"/>
                <w:lang w:val="nb-NO" w:eastAsia="en-US" w:bidi="ar-SA"/>
              </w:rPr>
              <w:t>.</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t xml:space="preserve">Forklaring: </w:t>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t>Simex-estimat:</w:t>
            </w:r>
          </w:p>
        </w:tc>
      </w:tr>
    </w:tbl>
    <w:p>
      <w:pPr>
        <w:pStyle w:val="Normal"/>
        <w:rPr/>
      </w:pPr>
      <w:r>
        <w:rPr/>
      </w:r>
    </w:p>
    <w:tbl>
      <w:tblPr>
        <w:tblStyle w:val="GridTable4-Accent6"/>
        <w:tblW w:w="90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842"/>
        <w:gridCol w:w="8173"/>
      </w:tblGrid>
      <w:tr>
        <w:trPr>
          <w:cnfStyle w:val="100000000000" w:firstRow="1" w:lastRow="0" w:firstColumn="0" w:lastColumn="0" w:oddVBand="0" w:evenVBand="0" w:oddHBand="0" w:evenHBand="0" w:firstRowFirstColumn="0" w:firstRowLastColumn="0" w:lastRowFirstColumn="0" w:lastRowLastColumn="0"/>
        </w:trPr>
        <w:tc>
          <w:tcPr>
            <w:tcW w:w="842"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rPr>
                <w:color w:val="000000" w:themeColor="text1"/>
                <w:lang w:val="nb-NO"/>
              </w:rPr>
            </w:pPr>
            <w:r>
              <w:rPr>
                <w:rFonts w:eastAsia="Calibri" w:cs=""/>
                <w:b/>
                <w:bCs/>
                <w:color w:val="000000" w:themeColor="text1"/>
                <w:kern w:val="2"/>
                <w:sz w:val="24"/>
                <w:szCs w:val="24"/>
                <w:lang w:val="nb-NO" w:eastAsia="en-US" w:bidi="ar-SA"/>
              </w:rPr>
              <w:t>5e)</w:t>
            </w:r>
          </w:p>
        </w:tc>
        <w:tc>
          <w:tcPr>
            <w:tcW w:w="8173" w:type="dxa"/>
            <w:tcBorders>
              <w:top w:val="single" w:sz="4" w:space="0" w:color="70AD47"/>
              <w:left w:val="single" w:sz="4" w:space="0" w:color="70AD47"/>
              <w:bottom w:val="single" w:sz="4" w:space="0" w:color="70AD47"/>
              <w:right w:val="single" w:sz="4" w:space="0" w:color="70AD47"/>
            </w:tcBorders>
            <w:shd w:color="auto" w:fill="E2EFD9" w:themeFill="accent6" w:themeFillTint="33"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pPr>
            <w:r>
              <w:rPr>
                <w:rFonts w:eastAsia="Calibri" w:cs=""/>
                <w:b w:val="false"/>
                <w:bCs w:val="false"/>
                <w:color w:val="000000" w:themeColor="text1"/>
                <w:kern w:val="2"/>
                <w:sz w:val="24"/>
                <w:szCs w:val="24"/>
                <w:lang w:val="nb-NO" w:eastAsia="en-US" w:bidi="ar-SA"/>
              </w:rPr>
              <w:t xml:space="preserve">Under har vi plottet 3 regresjonslinjer for modellen med gjennomsnittet av fem målinger som kovariat. Dersom dere har gjort oppgavene </w:t>
            </w:r>
            <w:r>
              <w:rPr>
                <w:rStyle w:val="StrongEmphasis"/>
                <w:rFonts w:eastAsia="Calibri" w:cs=""/>
                <w:b w:val="false"/>
                <w:bCs w:val="false"/>
                <w:color w:val="000000" w:themeColor="text1"/>
                <w:kern w:val="2"/>
                <w:sz w:val="24"/>
                <w:szCs w:val="24"/>
                <w:lang w:val="nb-NO" w:eastAsia="en-US" w:bidi="ar-SA"/>
              </w:rPr>
              <w:t>5c)</w:t>
            </w:r>
            <w:r>
              <w:rPr>
                <w:rFonts w:eastAsia="Calibri" w:cs=""/>
                <w:b w:val="false"/>
                <w:bCs w:val="false"/>
                <w:color w:val="000000" w:themeColor="text1"/>
                <w:kern w:val="2"/>
                <w:sz w:val="24"/>
                <w:szCs w:val="24"/>
                <w:lang w:val="nb-NO" w:eastAsia="en-US" w:bidi="ar-SA"/>
              </w:rPr>
              <w:t xml:space="preserve"> og </w:t>
            </w:r>
            <w:r>
              <w:rPr>
                <w:rStyle w:val="StrongEmphasis"/>
                <w:rFonts w:eastAsia="Calibri" w:cs=""/>
                <w:b w:val="false"/>
                <w:bCs w:val="false"/>
                <w:color w:val="000000" w:themeColor="text1"/>
                <w:kern w:val="2"/>
                <w:sz w:val="24"/>
                <w:szCs w:val="24"/>
                <w:lang w:val="nb-NO" w:eastAsia="en-US" w:bidi="ar-SA"/>
              </w:rPr>
              <w:t>5d)</w:t>
            </w:r>
            <w:r>
              <w:rPr>
                <w:rFonts w:eastAsia="Calibri" w:cs=""/>
                <w:b w:val="false"/>
                <w:bCs w:val="false"/>
                <w:color w:val="000000" w:themeColor="text1"/>
                <w:kern w:val="2"/>
                <w:sz w:val="24"/>
                <w:szCs w:val="24"/>
                <w:lang w:val="nb-NO" w:eastAsia="en-US" w:bidi="ar-SA"/>
              </w:rPr>
              <w:t xml:space="preserve"> riktig (altså funnet riktige verdier for </w:t>
            </w:r>
            <w:r>
              <w:rPr>
                <w:rStyle w:val="SourceText"/>
                <w:b w:val="false"/>
                <w:bCs w:val="false"/>
                <w:color w:val="000000" w:themeColor="text1"/>
                <w:kern w:val="2"/>
                <w:sz w:val="24"/>
                <w:szCs w:val="24"/>
                <w:lang w:val="nb-NO" w:eastAsia="en-US" w:bidi="ar-SA"/>
              </w:rPr>
              <w:t>beta_corrected</w:t>
            </w:r>
            <w:r>
              <w:rPr>
                <w:rFonts w:eastAsia="Calibri" w:cs=""/>
                <w:b w:val="false"/>
                <w:bCs w:val="false"/>
                <w:color w:val="000000" w:themeColor="text1"/>
                <w:kern w:val="2"/>
                <w:sz w:val="24"/>
                <w:szCs w:val="24"/>
                <w:lang w:val="nb-NO" w:eastAsia="en-US" w:bidi="ar-SA"/>
              </w:rPr>
              <w:t xml:space="preserve"> og </w:t>
            </w:r>
            <w:r>
              <w:rPr>
                <w:rStyle w:val="SourceText"/>
                <w:b w:val="false"/>
                <w:bCs w:val="false"/>
                <w:color w:val="000000" w:themeColor="text1"/>
                <w:kern w:val="2"/>
                <w:sz w:val="24"/>
                <w:szCs w:val="24"/>
                <w:lang w:val="nb-NO" w:eastAsia="en-US" w:bidi="ar-SA"/>
              </w:rPr>
              <w:t>beta_simex</w:t>
            </w:r>
            <w:r>
              <w:rPr>
                <w:rFonts w:eastAsia="Calibri" w:cs=""/>
                <w:b w:val="false"/>
                <w:bCs w:val="false"/>
                <w:color w:val="000000" w:themeColor="text1"/>
                <w:kern w:val="2"/>
                <w:sz w:val="24"/>
                <w:szCs w:val="24"/>
                <w:lang w:val="nb-NO" w:eastAsia="en-US" w:bidi="ar-SA"/>
              </w:rPr>
              <w:t>) vil den blå og den oransje linja ligge svært nærme hverandre. I tillegg vil begge ha et noe høyere stigningstall enn den svarte linja, som viser regresjon uten korrektur av målefeil. Hvordan vil du forklare forskjellen/likheten i stigningstallene mellom de tre linjene? Svar med maks 4 setninger.</w:t>
            </w:r>
          </w:p>
        </w:tc>
      </w:tr>
      <w:tr>
        <w:trPr/>
        <w:tc>
          <w:tcPr>
            <w:tcW w:w="84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lang w:val="nb-NO"/>
              </w:rPr>
            </w:pPr>
            <w:r>
              <w:rPr>
                <w:rFonts w:eastAsia="Calibri" w:cs=""/>
                <w:b/>
                <w:bCs/>
                <w:kern w:val="2"/>
                <w:sz w:val="24"/>
                <w:szCs w:val="24"/>
                <w:lang w:val="nb-NO" w:eastAsia="en-US" w:bidi="ar-SA"/>
              </w:rPr>
              <w:t>Svar</w:t>
            </w:r>
          </w:p>
        </w:tc>
        <w:tc>
          <w:tcPr>
            <w:tcW w:w="8173"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
                <w:kern w:val="2"/>
                <w:sz w:val="24"/>
                <w:szCs w:val="24"/>
                <w:lang w:val="en-NO" w:eastAsia="en-US" w:bidi="ar-SA"/>
              </w:rPr>
            </w:pPr>
            <w:r>
              <w:rPr>
                <w:rFonts w:eastAsia="Calibri" w:cs=""/>
                <w:kern w:val="2"/>
                <w:sz w:val="24"/>
                <w:szCs w:val="24"/>
                <w:lang w:val="en-NO" w:eastAsia="en-US" w:bidi="ar-SA"/>
              </w:rPr>
            </w:r>
          </w:p>
        </w:tc>
      </w:tr>
    </w:tbl>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TIXMathJax Mai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N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NO" w:eastAsia="en-US" w:bidi="ar-SA"/>
      <w14:ligatures w14:val="standardContextual"/>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
    <w:uiPriority w:val="99"/>
    <w:semiHidden/>
    <w:qFormat/>
    <w:rsid w:val="00ad6fc7"/>
    <w:rPr>
      <w:sz w:val="20"/>
      <w:szCs w:val="20"/>
    </w:rPr>
  </w:style>
  <w:style w:type="character" w:styleId="EndnoteCharacters">
    <w:name w:val="Endnote Characters"/>
    <w:basedOn w:val="DefaultParagraphFont"/>
    <w:uiPriority w:val="99"/>
    <w:semiHidden/>
    <w:unhideWhenUsed/>
    <w:qFormat/>
    <w:rsid w:val="00ad6fc7"/>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sid w:val="00ad6fc7"/>
    <w:rPr>
      <w:color w:val="808080"/>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d6fc7"/>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a4f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4">
    <w:name w:val="Grid Table 4 Accent 4"/>
    <w:basedOn w:val="TableNormal"/>
    <w:uiPriority w:val="49"/>
    <w:rsid w:val="007a4fe1"/>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LibreOffice/7.3.7.2$Linux_X86_64 LibreOffice_project/30$Build-2</Application>
  <AppVersion>15.0000</AppVersion>
  <Pages>3</Pages>
  <Words>806</Words>
  <Characters>4331</Characters>
  <CharactersWithSpaces>5077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2023-08-04T10:20:00Z</dcterms:created>
  <dc:creator>Ingeborg Gullikstad Hem</dc:creator>
  <dc:description/>
  <dc:language>en-US</dc:language>
  <cp:lastModifiedBy/>
  <dcterms:modified xsi:type="dcterms:W3CDTF">2023-10-16T09:11:29Z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