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155CC"/>
          <w:sz w:val="36"/>
        </w:rPr>
        <w:t>Practice Session 3: Billing (Wire Transfer)</w:t>
      </w:r>
    </w:p>
    <w:p>
      <w:pPr>
        <w:spacing w:after="160" w:before="0"/>
      </w:pPr>
      <w:r>
        <w:rPr>
          <w:rFonts w:ascii="Arial" w:hAnsi="Arial"/>
          <w:b/>
          <w:i w:val="0"/>
          <w:color w:val="5F6368"/>
          <w:sz w:val="24"/>
        </w:rPr>
        <w:t>Response-Options Branching &amp; Scoring Matrix</w:t>
      </w:r>
    </w:p>
    <w:p>
      <w:pPr>
        <w:spacing w:after="40" w:before="0"/>
      </w:pPr>
      <w:r>
        <w:rPr>
          <w:rFonts w:ascii="Arial" w:hAnsi="Arial"/>
          <w:b/>
          <w:i w:val="0"/>
          <w:sz w:val="18"/>
        </w:rPr>
        <w:t xml:space="preserve">Audience: </w:t>
      </w:r>
      <w:r>
        <w:rPr>
          <w:rFonts w:ascii="Arial" w:hAnsi="Arial"/>
          <w:b w:val="0"/>
          <w:i w:val="0"/>
          <w:sz w:val="18"/>
        </w:rPr>
        <w:t xml:space="preserve">CC Onboarding (Experts + BPO)     </w:t>
      </w:r>
      <w:r>
        <w:rPr>
          <w:rFonts w:ascii="Arial" w:hAnsi="Arial"/>
          <w:b/>
          <w:i w:val="0"/>
          <w:sz w:val="18"/>
        </w:rPr>
        <w:t xml:space="preserve">Target KPI: </w:t>
      </w:r>
      <w:r>
        <w:rPr>
          <w:rFonts w:ascii="Arial" w:hAnsi="Arial"/>
          <w:b w:val="0"/>
          <w:i w:val="0"/>
          <w:sz w:val="18"/>
        </w:rPr>
        <w:t xml:space="preserve">QCI / Session Supporter scorecard     </w:t>
      </w:r>
      <w:r>
        <w:rPr>
          <w:rFonts w:ascii="Arial" w:hAnsi="Arial"/>
          <w:b/>
          <w:i w:val="0"/>
          <w:sz w:val="18"/>
        </w:rPr>
        <w:t xml:space="preserve">Length: </w:t>
      </w:r>
      <w:r>
        <w:rPr>
          <w:rFonts w:ascii="Arial" w:hAnsi="Arial"/>
          <w:b w:val="0"/>
          <w:i w:val="0"/>
          <w:sz w:val="18"/>
        </w:rPr>
        <w:t xml:space="preserve">15 to 25 min     </w:t>
      </w:r>
      <w:r>
        <w:rPr>
          <w:rFonts w:ascii="Arial" w:hAnsi="Arial"/>
          <w:b/>
          <w:i w:val="0"/>
          <w:sz w:val="18"/>
        </w:rPr>
        <w:t xml:space="preserve">Total: </w:t>
      </w:r>
      <w:r>
        <w:rPr>
          <w:rFonts w:ascii="Arial" w:hAnsi="Arial"/>
          <w:b w:val="0"/>
          <w:i w:val="0"/>
          <w:sz w:val="18"/>
        </w:rPr>
        <w:t>100 pts</w:t>
      </w:r>
    </w:p>
    <w:p>
      <w:pPr>
        <w:spacing w:after="160" w:before="0"/>
      </w:pPr>
      <w:r>
        <w:rPr>
          <w:rFonts w:ascii="Arial" w:hAnsi="Arial"/>
          <w:b/>
          <w:i w:val="0"/>
          <w:sz w:val="18"/>
        </w:rPr>
        <w:t xml:space="preserve">Caller: </w:t>
      </w:r>
      <w:r>
        <w:rPr>
          <w:rFonts w:ascii="Arial" w:hAnsi="Arial"/>
          <w:b w:val="0"/>
          <w:i w:val="0"/>
          <w:sz w:val="18"/>
        </w:rPr>
        <w:t>Lena, buying a yearly Wix Premium plan and stuck because she wants to pay by wire transfer.</w:t>
      </w:r>
    </w:p>
    <w:p>
      <w:pPr>
        <w:spacing w:after="60" w:before="0"/>
      </w:pPr>
      <w:r>
        <w:rPr>
          <w:rFonts w:ascii="Arial" w:hAnsi="Arial"/>
          <w:b/>
          <w:i w:val="0"/>
          <w:color w:val="1155CC"/>
          <w:sz w:val="24"/>
        </w:rPr>
        <w:t>Source of truth &amp; key rules</w:t>
      </w:r>
    </w:p>
    <w:p>
      <w:pPr>
        <w:spacing w:after="20" w:before="0"/>
      </w:pPr>
      <w:r>
        <w:rPr>
          <w:rFonts w:ascii="Arial" w:hAnsi="Arial"/>
          <w:b/>
          <w:i w:val="0"/>
          <w:sz w:val="18"/>
        </w:rPr>
        <w:t>• Wire / direct bank transfer is not supported</w:t>
      </w:r>
      <w:r>
        <w:rPr>
          <w:rFonts w:ascii="Arial" w:hAnsi="Arial"/>
          <w:b w:val="0"/>
          <w:i w:val="0"/>
          <w:sz w:val="18"/>
        </w:rPr>
        <w:t xml:space="preserve"> for Wix services (any region, plan or term).</w:t>
      </w:r>
    </w:p>
    <w:p>
      <w:pPr>
        <w:spacing w:after="20" w:before="0"/>
      </w:pPr>
      <w:r>
        <w:rPr>
          <w:rFonts w:ascii="Arial" w:hAnsi="Arial"/>
          <w:b/>
          <w:i w:val="0"/>
          <w:sz w:val="18"/>
        </w:rPr>
        <w:t>• SEPA Direct Debit</w:t>
      </w:r>
      <w:r>
        <w:rPr>
          <w:rFonts w:ascii="Arial" w:hAnsi="Arial"/>
          <w:b w:val="0"/>
          <w:i w:val="0"/>
          <w:sz w:val="18"/>
        </w:rPr>
        <w:t xml:space="preserve"> is usable only if already saved (it can't be newly added for first-time purchases) and only for Premium plans + domains. Otherwise credit/debit card or PayPal.</w:t>
      </w:r>
    </w:p>
    <w:p>
      <w:pPr>
        <w:spacing w:after="20" w:before="0"/>
      </w:pPr>
      <w:r>
        <w:rPr>
          <w:rFonts w:ascii="Arial" w:hAnsi="Arial"/>
          <w:b/>
          <w:i w:val="0"/>
          <w:sz w:val="18"/>
        </w:rPr>
        <w:t>• Correct resolution: say it isn't possible and offer the payment methods that fit the user's location (full solve). A warm handoff of the wire-transfer request to the specialist team (Risk Premium) also counts as a full solve — SME to confirm. There's no active feature-request vote link.</w:t>
      </w:r>
      <w:r>
        <w:rPr>
          <w:rFonts w:ascii="Arial" w:hAnsi="Arial"/>
          <w:b w:val="0"/>
          <w:i w:val="0"/>
          <w:sz w:val="18"/>
        </w:rPr>
      </w:r>
    </w:p>
    <w:p>
      <w:pPr>
        <w:spacing w:after="160" w:before="0"/>
      </w:pPr>
      <w:r>
        <w:rPr>
          <w:rFonts w:ascii="Arial" w:hAnsi="Arial"/>
          <w:b/>
          <w:i w:val="0"/>
          <w:sz w:val="18"/>
        </w:rPr>
        <w:t>• Sources (CSI): “Payment Methods”; “Billing German: Market-Specific Topics” (Wire transfer for Wix services section). Public Help Center references: “Request: Using Direct Bank Transfer to Purchase a Wix Premium Service”; “About SEPA Payments for Wix Services”.</w:t>
      </w:r>
      <w:r>
        <w:rPr>
          <w:rFonts w:ascii="Arial" w:hAnsi="Arial"/>
          <w:b w:val="0"/>
          <w:i w:val="0"/>
          <w:sz w:val="18"/>
        </w:rPr>
      </w:r>
    </w:p>
    <w:p>
      <w:pPr>
        <w:spacing w:after="60" w:before="0"/>
      </w:pPr>
      <w:r>
        <w:rPr>
          <w:rFonts w:ascii="Arial" w:hAnsi="Arial"/>
          <w:b/>
          <w:i w:val="0"/>
          <w:color w:val="38761D"/>
          <w:sz w:val="24"/>
        </w:rPr>
        <w:t>The rubric: 8 graded behaviours (end-of-call feedback)</w:t>
      </w:r>
    </w:p>
    <w:tbl>
      <w:tblPr>
        <w:tblStyle w:val="TableGrid"/>
        <w:tblW w:type="auto" w:w="0"/>
        <w:tblLayout w:type="fixed"/>
        <w:tblLook w:firstColumn="1" w:firstRow="1" w:lastColumn="0" w:lastRow="0" w:noHBand="0" w:noVBand="1" w:val="04A0"/>
      </w:tblPr>
      <w:tblGrid>
        <w:gridCol w:w="3600"/>
        <w:gridCol w:w="3600"/>
        <w:gridCol w:w="3600"/>
        <w:gridCol w:w="3600"/>
      </w:tblGrid>
      <w:tr>
        <w:tc>
          <w:tcPr>
            <w:tcW w:type="dxa" w:w="3168"/>
            <w:shd w:val="clear" w:color="auto" w:fill="38761D"/>
            <w:vAlign w:val="center"/>
          </w:tcPr>
          <w:p>
            <w:pPr>
              <w:spacing w:after="0" w:before="0"/>
            </w:pPr>
            <w:r/>
            <w:r>
              <w:rPr>
                <w:rFonts w:ascii="Arial" w:hAnsi="Arial"/>
                <w:b/>
                <w:i w:val="0"/>
                <w:color w:val="FFFFFF"/>
                <w:sz w:val="18"/>
              </w:rPr>
              <w:t>Stage (max)</w:t>
            </w:r>
          </w:p>
        </w:tc>
        <w:tc>
          <w:tcPr>
            <w:tcW w:type="dxa" w:w="720"/>
            <w:shd w:val="clear" w:color="auto" w:fill="38761D"/>
            <w:vAlign w:val="center"/>
          </w:tcPr>
          <w:p>
            <w:pPr>
              <w:spacing w:after="0" w:before="0"/>
            </w:pPr>
            <w:r/>
            <w:r>
              <w:rPr>
                <w:rFonts w:ascii="Arial" w:hAnsi="Arial"/>
                <w:b/>
                <w:i w:val="0"/>
                <w:color w:val="FFFFFF"/>
                <w:sz w:val="18"/>
              </w:rPr>
              <w:t>Max</w:t>
            </w:r>
          </w:p>
        </w:tc>
        <w:tc>
          <w:tcPr>
            <w:tcW w:type="dxa" w:w="5256"/>
            <w:shd w:val="clear" w:color="auto" w:fill="38761D"/>
            <w:vAlign w:val="center"/>
          </w:tcPr>
          <w:p>
            <w:pPr>
              <w:spacing w:after="0" w:before="0"/>
            </w:pPr>
            <w:r/>
            <w:r>
              <w:rPr>
                <w:rFonts w:ascii="Arial" w:hAnsi="Arial"/>
                <w:b/>
                <w:i w:val="0"/>
                <w:color w:val="FFFFFF"/>
                <w:sz w:val="18"/>
              </w:rPr>
              <w:t>Behavior Demonstrated Feedback</w:t>
            </w:r>
          </w:p>
        </w:tc>
        <w:tc>
          <w:tcPr>
            <w:tcW w:type="dxa" w:w="5256"/>
            <w:shd w:val="clear" w:color="auto" w:fill="38761D"/>
            <w:vAlign w:val="center"/>
          </w:tcPr>
          <w:p>
            <w:pPr>
              <w:spacing w:after="0" w:before="0"/>
            </w:pPr>
            <w:r/>
            <w:r>
              <w:rPr>
                <w:rFonts w:ascii="Arial" w:hAnsi="Arial"/>
                <w:b/>
                <w:i w:val="0"/>
                <w:color w:val="FFFFFF"/>
                <w:sz w:val="18"/>
              </w:rPr>
              <w:t>Area for Improvement</w:t>
            </w:r>
          </w:p>
        </w:tc>
      </w:tr>
      <w:tr>
        <w:tc>
          <w:tcPr>
            <w:tcW w:type="dxa" w:w="3168"/>
            <w:vAlign w:val="center"/>
          </w:tcPr>
          <w:p>
            <w:pPr>
              <w:spacing w:after="0" w:before="0"/>
            </w:pPr>
            <w:r/>
            <w:r>
              <w:rPr>
                <w:rFonts w:ascii="Arial" w:hAnsi="Arial"/>
                <w:b/>
                <w:i w:val="0"/>
                <w:sz w:val="18"/>
              </w:rPr>
              <w:t>Opening &amp; closing</w:t>
            </w:r>
          </w:p>
        </w:tc>
        <w:tc>
          <w:tcPr>
            <w:tcW w:type="dxa" w:w="720"/>
            <w:vAlign w:val="center"/>
          </w:tcPr>
          <w:p>
            <w:pPr>
              <w:spacing w:after="0" w:before="0"/>
              <w:jc w:val="center"/>
            </w:pPr>
            <w:r/>
            <w:r>
              <w:rPr>
                <w:rFonts w:ascii="Arial" w:hAnsi="Arial"/>
                <w:b/>
                <w:i w:val="0"/>
                <w:sz w:val="18"/>
              </w:rPr>
              <w:t>5</w:t>
            </w:r>
          </w:p>
        </w:tc>
        <w:tc>
          <w:tcPr>
            <w:tcW w:type="dxa" w:w="5256"/>
            <w:vAlign w:val="center"/>
          </w:tcPr>
          <w:p>
            <w:pPr>
              <w:spacing w:after="0" w:before="0"/>
            </w:pPr>
            <w:r/>
            <w:r>
              <w:rPr>
                <w:rFonts w:ascii="Arial" w:hAnsi="Arial"/>
                <w:b w:val="0"/>
                <w:i w:val="0"/>
                <w:sz w:val="18"/>
              </w:rPr>
              <w:t>you acknowledged Lena's problem, reassured her, and closed with a recap.</w:t>
            </w:r>
          </w:p>
        </w:tc>
        <w:tc>
          <w:tcPr>
            <w:tcW w:type="dxa" w:w="5256"/>
            <w:vAlign w:val="center"/>
          </w:tcPr>
          <w:p>
            <w:pPr>
              <w:spacing w:after="0" w:before="0"/>
            </w:pPr>
            <w:r/>
            <w:r>
              <w:rPr>
                <w:rFonts w:ascii="Arial" w:hAnsi="Arial"/>
                <w:b w:val="0"/>
                <w:i w:val="0"/>
                <w:sz w:val="18"/>
              </w:rPr>
              <w:t>acknowledge the issue and reassure at the start, and close with a short recap of what happens next.</w:t>
            </w:r>
          </w:p>
        </w:tc>
      </w:tr>
      <w:tr>
        <w:tc>
          <w:tcPr>
            <w:tcW w:type="dxa" w:w="3168"/>
            <w:vAlign w:val="center"/>
          </w:tcPr>
          <w:p>
            <w:pPr>
              <w:spacing w:after="0" w:before="0"/>
            </w:pPr>
            <w:r/>
            <w:r>
              <w:rPr>
                <w:rFonts w:ascii="Arial" w:hAnsi="Arial"/>
                <w:b/>
                <w:i w:val="0"/>
                <w:sz w:val="18"/>
              </w:rPr>
              <w:t>Use Dynamics</w:t>
            </w:r>
          </w:p>
        </w:tc>
        <w:tc>
          <w:tcPr>
            <w:tcW w:type="dxa" w:w="720"/>
            <w:vAlign w:val="center"/>
          </w:tcPr>
          <w:p>
            <w:pPr>
              <w:spacing w:after="0" w:before="0"/>
              <w:jc w:val="center"/>
            </w:pPr>
            <w:r/>
            <w:r>
              <w:rPr>
                <w:rFonts w:ascii="Arial" w:hAnsi="Arial"/>
                <w:b/>
                <w:i w:val="0"/>
                <w:sz w:val="18"/>
              </w:rPr>
              <w:t>10</w:t>
            </w:r>
          </w:p>
        </w:tc>
        <w:tc>
          <w:tcPr>
            <w:tcW w:type="dxa" w:w="5256"/>
            <w:vAlign w:val="center"/>
          </w:tcPr>
          <w:p>
            <w:pPr>
              <w:spacing w:after="0" w:before="0"/>
            </w:pPr>
            <w:r/>
            <w:r>
              <w:rPr>
                <w:rFonts w:ascii="Arial" w:hAnsi="Arial"/>
                <w:b w:val="0"/>
                <w:i w:val="0"/>
                <w:sz w:val="18"/>
              </w:rPr>
              <w:t>you used User Manager to see Lena's account, plan and country yourself.</w:t>
            </w:r>
          </w:p>
        </w:tc>
        <w:tc>
          <w:tcPr>
            <w:tcW w:type="dxa" w:w="5256"/>
            <w:vAlign w:val="center"/>
          </w:tcPr>
          <w:p>
            <w:pPr>
              <w:spacing w:after="0" w:before="0"/>
            </w:pPr>
            <w:r/>
            <w:r>
              <w:rPr>
                <w:rFonts w:ascii="Arial" w:hAnsi="Arial"/>
                <w:b w:val="0"/>
                <w:i w:val="0"/>
                <w:sz w:val="18"/>
              </w:rPr>
              <w:t>use Dynamics/User Manager to see the account and payment methods yourself, rather than asking the user to describe them.</w:t>
            </w:r>
          </w:p>
        </w:tc>
      </w:tr>
      <w:tr>
        <w:tc>
          <w:tcPr>
            <w:tcW w:type="dxa" w:w="3168"/>
            <w:vAlign w:val="center"/>
          </w:tcPr>
          <w:p>
            <w:pPr>
              <w:spacing w:after="0" w:before="0"/>
            </w:pPr>
            <w:r/>
            <w:r>
              <w:rPr>
                <w:rFonts w:ascii="Arial" w:hAnsi="Arial"/>
                <w:b/>
                <w:i w:val="0"/>
                <w:sz w:val="18"/>
              </w:rPr>
              <w:t>Familiarize</w:t>
            </w:r>
          </w:p>
        </w:tc>
        <w:tc>
          <w:tcPr>
            <w:tcW w:type="dxa" w:w="720"/>
            <w:vAlign w:val="center"/>
          </w:tcPr>
          <w:p>
            <w:pPr>
              <w:spacing w:after="0" w:before="0"/>
              <w:jc w:val="center"/>
            </w:pPr>
            <w:r/>
            <w:r>
              <w:rPr>
                <w:rFonts w:ascii="Arial" w:hAnsi="Arial"/>
                <w:b/>
                <w:i w:val="0"/>
                <w:sz w:val="18"/>
              </w:rPr>
              <w:t>10</w:t>
            </w:r>
          </w:p>
        </w:tc>
        <w:tc>
          <w:tcPr>
            <w:tcW w:type="dxa" w:w="5256"/>
            <w:vAlign w:val="center"/>
          </w:tcPr>
          <w:p>
            <w:pPr>
              <w:spacing w:after="0" w:before="0"/>
            </w:pPr>
            <w:r/>
            <w:r>
              <w:rPr>
                <w:rFonts w:ascii="Arial" w:hAnsi="Arial"/>
                <w:b w:val="0"/>
                <w:i w:val="0"/>
                <w:sz w:val="18"/>
              </w:rPr>
              <w:t>you asked an impactful question that connected the payment issue to what Lena is trying to achieve.</w:t>
            </w:r>
          </w:p>
        </w:tc>
        <w:tc>
          <w:tcPr>
            <w:tcW w:type="dxa" w:w="5256"/>
            <w:vAlign w:val="center"/>
          </w:tcPr>
          <w:p>
            <w:pPr>
              <w:spacing w:after="0" w:before="0"/>
            </w:pPr>
            <w:r/>
            <w:r>
              <w:rPr>
                <w:rFonts w:ascii="Arial" w:hAnsi="Arial"/>
                <w:b w:val="0"/>
                <w:i w:val="0"/>
                <w:sz w:val="18"/>
              </w:rPr>
              <w:t>ask at least one impactful question that links the issue to the user's goal or use case, not a generic 'what's your business'.</w:t>
            </w:r>
          </w:p>
        </w:tc>
      </w:tr>
      <w:tr>
        <w:tc>
          <w:tcPr>
            <w:tcW w:type="dxa" w:w="3168"/>
            <w:vAlign w:val="center"/>
          </w:tcPr>
          <w:p>
            <w:pPr>
              <w:spacing w:after="0" w:before="0"/>
            </w:pPr>
            <w:r/>
            <w:r>
              <w:rPr>
                <w:rFonts w:ascii="Arial" w:hAnsi="Arial"/>
                <w:b/>
                <w:i w:val="0"/>
                <w:sz w:val="18"/>
              </w:rPr>
              <w:t>Clarify the issue</w:t>
            </w:r>
          </w:p>
        </w:tc>
        <w:tc>
          <w:tcPr>
            <w:tcW w:type="dxa" w:w="720"/>
            <w:vAlign w:val="center"/>
          </w:tcPr>
          <w:p>
            <w:pPr>
              <w:spacing w:after="0" w:before="0"/>
              <w:jc w:val="center"/>
            </w:pPr>
            <w:r/>
            <w:r>
              <w:rPr>
                <w:rFonts w:ascii="Arial" w:hAnsi="Arial"/>
                <w:b/>
                <w:i w:val="0"/>
                <w:sz w:val="18"/>
              </w:rPr>
              <w:t>15</w:t>
            </w:r>
          </w:p>
        </w:tc>
        <w:tc>
          <w:tcPr>
            <w:tcW w:type="dxa" w:w="5256"/>
            <w:vAlign w:val="center"/>
          </w:tcPr>
          <w:p>
            <w:pPr>
              <w:spacing w:after="0" w:before="0"/>
            </w:pPr>
            <w:r/>
            <w:r>
              <w:rPr>
                <w:rFonts w:ascii="Arial" w:hAnsi="Arial"/>
                <w:b w:val="0"/>
                <w:i w:val="0"/>
                <w:sz w:val="18"/>
              </w:rPr>
              <w:t>you asked the region, the detail that decides which options are available, before proposing anything.</w:t>
            </w:r>
          </w:p>
        </w:tc>
        <w:tc>
          <w:tcPr>
            <w:tcW w:type="dxa" w:w="5256"/>
            <w:vAlign w:val="center"/>
          </w:tcPr>
          <w:p>
            <w:pPr>
              <w:spacing w:after="0" w:before="0"/>
            </w:pPr>
            <w:r/>
            <w:r>
              <w:rPr>
                <w:rFonts w:ascii="Arial" w:hAnsi="Arial"/>
                <w:b w:val="0"/>
                <w:i w:val="0"/>
                <w:sz w:val="18"/>
              </w:rPr>
              <w:t>confirm the real request and ask the account region, since payment options vary by country, before jumping to a fix.</w:t>
            </w:r>
          </w:p>
        </w:tc>
      </w:tr>
      <w:tr>
        <w:tc>
          <w:tcPr>
            <w:tcW w:type="dxa" w:w="3168"/>
            <w:vAlign w:val="center"/>
          </w:tcPr>
          <w:p>
            <w:pPr>
              <w:spacing w:after="0" w:before="0"/>
            </w:pPr>
            <w:r/>
            <w:r>
              <w:rPr>
                <w:rFonts w:ascii="Arial" w:hAnsi="Arial"/>
                <w:b/>
                <w:i w:val="0"/>
                <w:sz w:val="18"/>
              </w:rPr>
              <w:t>Roadmapping</w:t>
            </w:r>
          </w:p>
        </w:tc>
        <w:tc>
          <w:tcPr>
            <w:tcW w:type="dxa" w:w="720"/>
            <w:vAlign w:val="center"/>
          </w:tcPr>
          <w:p>
            <w:pPr>
              <w:spacing w:after="0" w:before="0"/>
              <w:jc w:val="center"/>
            </w:pPr>
            <w:r/>
            <w:r>
              <w:rPr>
                <w:rFonts w:ascii="Arial" w:hAnsi="Arial"/>
                <w:b/>
                <w:i w:val="0"/>
                <w:sz w:val="18"/>
              </w:rPr>
              <w:t>10</w:t>
            </w:r>
          </w:p>
        </w:tc>
        <w:tc>
          <w:tcPr>
            <w:tcW w:type="dxa" w:w="5256"/>
            <w:vAlign w:val="center"/>
          </w:tcPr>
          <w:p>
            <w:pPr>
              <w:spacing w:after="0" w:before="0"/>
            </w:pPr>
            <w:r/>
            <w:r>
              <w:rPr>
                <w:rFonts w:ascii="Arial" w:hAnsi="Arial"/>
                <w:b w:val="0"/>
                <w:i w:val="0"/>
                <w:sz w:val="18"/>
              </w:rPr>
              <w:t>you told Lena your plan for what you'd check and do next.</w:t>
            </w:r>
          </w:p>
        </w:tc>
        <w:tc>
          <w:tcPr>
            <w:tcW w:type="dxa" w:w="5256"/>
            <w:vAlign w:val="center"/>
          </w:tcPr>
          <w:p>
            <w:pPr>
              <w:spacing w:after="0" w:before="0"/>
            </w:pPr>
            <w:r/>
            <w:r>
              <w:rPr>
                <w:rFonts w:ascii="Arial" w:hAnsi="Arial"/>
                <w:b w:val="0"/>
                <w:i w:val="0"/>
                <w:sz w:val="18"/>
              </w:rPr>
              <w:t>tell the user your plan, what you'll check and do next, so they're not left guessing.</w:t>
            </w:r>
          </w:p>
        </w:tc>
      </w:tr>
      <w:tr>
        <w:tc>
          <w:tcPr>
            <w:tcW w:type="dxa" w:w="3168"/>
            <w:vAlign w:val="center"/>
          </w:tcPr>
          <w:p>
            <w:pPr>
              <w:spacing w:after="0" w:before="0"/>
            </w:pPr>
            <w:r/>
            <w:r>
              <w:rPr>
                <w:rFonts w:ascii="Arial" w:hAnsi="Arial"/>
                <w:b/>
                <w:i w:val="0"/>
                <w:sz w:val="18"/>
              </w:rPr>
              <w:t>Article / Copilot</w:t>
            </w:r>
          </w:p>
        </w:tc>
        <w:tc>
          <w:tcPr>
            <w:tcW w:type="dxa" w:w="720"/>
            <w:vAlign w:val="center"/>
          </w:tcPr>
          <w:p>
            <w:pPr>
              <w:spacing w:after="0" w:before="0"/>
              <w:jc w:val="center"/>
            </w:pPr>
            <w:r/>
            <w:r>
              <w:rPr>
                <w:rFonts w:ascii="Arial" w:hAnsi="Arial"/>
                <w:b/>
                <w:i w:val="0"/>
                <w:sz w:val="18"/>
              </w:rPr>
              <w:t>20</w:t>
            </w:r>
          </w:p>
        </w:tc>
        <w:tc>
          <w:tcPr>
            <w:tcW w:type="dxa" w:w="5256"/>
            <w:vAlign w:val="center"/>
          </w:tcPr>
          <w:p>
            <w:pPr>
              <w:spacing w:after="0" w:before="0"/>
            </w:pPr>
            <w:r/>
            <w:r>
              <w:rPr>
                <w:rFonts w:ascii="Arial" w:hAnsi="Arial"/>
                <w:b w:val="0"/>
                <w:i w:val="0"/>
                <w:sz w:val="18"/>
              </w:rPr>
              <w:t>you went to the official source to confirm how this works instead of answering from memory.</w:t>
            </w:r>
          </w:p>
        </w:tc>
        <w:tc>
          <w:tcPr>
            <w:tcW w:type="dxa" w:w="5256"/>
            <w:vAlign w:val="center"/>
          </w:tcPr>
          <w:p>
            <w:pPr>
              <w:spacing w:after="0" w:before="0"/>
            </w:pPr>
            <w:r/>
            <w:r>
              <w:rPr>
                <w:rFonts w:ascii="Arial" w:hAnsi="Arial"/>
                <w:b w:val="0"/>
                <w:i w:val="0"/>
                <w:sz w:val="18"/>
              </w:rPr>
              <w:t>open the official source (the Wire Transfers article or Payment Methods) to confirm how this works, rather than answering from memory.</w:t>
            </w:r>
          </w:p>
        </w:tc>
      </w:tr>
      <w:tr>
        <w:tc>
          <w:tcPr>
            <w:tcW w:type="dxa" w:w="3168"/>
            <w:vAlign w:val="center"/>
          </w:tcPr>
          <w:p>
            <w:pPr>
              <w:spacing w:after="0" w:before="0"/>
            </w:pPr>
            <w:r/>
            <w:r>
              <w:rPr>
                <w:rFonts w:ascii="Arial" w:hAnsi="Arial"/>
                <w:b/>
                <w:i w:val="0"/>
                <w:sz w:val="18"/>
              </w:rPr>
              <w:t>Recreate the issue</w:t>
            </w:r>
          </w:p>
        </w:tc>
        <w:tc>
          <w:tcPr>
            <w:tcW w:type="dxa" w:w="720"/>
            <w:vAlign w:val="center"/>
          </w:tcPr>
          <w:p>
            <w:pPr>
              <w:spacing w:after="0" w:before="0"/>
              <w:jc w:val="center"/>
            </w:pPr>
            <w:r/>
            <w:r>
              <w:rPr>
                <w:rFonts w:ascii="Arial" w:hAnsi="Arial"/>
                <w:b/>
                <w:i w:val="0"/>
                <w:sz w:val="18"/>
              </w:rPr>
              <w:t>10</w:t>
            </w:r>
          </w:p>
        </w:tc>
        <w:tc>
          <w:tcPr>
            <w:tcW w:type="dxa" w:w="5256"/>
            <w:vAlign w:val="center"/>
          </w:tcPr>
          <w:p>
            <w:pPr>
              <w:spacing w:after="0" w:before="0"/>
            </w:pPr>
            <w:r/>
            <w:r>
              <w:rPr>
                <w:rFonts w:ascii="Arial" w:hAnsi="Arial"/>
                <w:b w:val="0"/>
                <w:i w:val="0"/>
                <w:sz w:val="18"/>
              </w:rPr>
              <w:t>you recreated the issue on the account to confirm the wire transfer option genuinely isn't offered before telling Lena.</w:t>
            </w:r>
          </w:p>
        </w:tc>
        <w:tc>
          <w:tcPr>
            <w:tcW w:type="dxa" w:w="5256"/>
            <w:vAlign w:val="center"/>
          </w:tcPr>
          <w:p>
            <w:pPr>
              <w:spacing w:after="0" w:before="0"/>
            </w:pPr>
            <w:r/>
            <w:r>
              <w:rPr>
                <w:rFonts w:ascii="Arial" w:hAnsi="Arial"/>
                <w:b w:val="0"/>
                <w:i w:val="0"/>
                <w:sz w:val="18"/>
              </w:rPr>
              <w:t>recreate the issue on the account or checkout to confirm the wire transfer option isn't available before telling the user it's not possible.</w:t>
            </w:r>
          </w:p>
        </w:tc>
      </w:tr>
      <w:tr>
        <w:tc>
          <w:tcPr>
            <w:tcW w:type="dxa" w:w="3168"/>
            <w:vAlign w:val="center"/>
          </w:tcPr>
          <w:p>
            <w:pPr>
              <w:spacing w:after="0" w:before="0"/>
            </w:pPr>
            <w:r/>
            <w:r>
              <w:rPr>
                <w:rFonts w:ascii="Arial" w:hAnsi="Arial"/>
                <w:b/>
                <w:i w:val="0"/>
                <w:sz w:val="18"/>
              </w:rPr>
              <w:t>Solve the issue</w:t>
            </w:r>
          </w:p>
        </w:tc>
        <w:tc>
          <w:tcPr>
            <w:tcW w:type="dxa" w:w="720"/>
            <w:vAlign w:val="center"/>
          </w:tcPr>
          <w:p>
            <w:pPr>
              <w:spacing w:after="0" w:before="0"/>
              <w:jc w:val="center"/>
            </w:pPr>
            <w:r/>
            <w:r>
              <w:rPr>
                <w:rFonts w:ascii="Arial" w:hAnsi="Arial"/>
                <w:b/>
                <w:i w:val="0"/>
                <w:sz w:val="18"/>
              </w:rPr>
              <w:t>20</w:t>
            </w:r>
          </w:p>
        </w:tc>
        <w:tc>
          <w:tcPr>
            <w:tcW w:type="dxa" w:w="5256"/>
            <w:vAlign w:val="center"/>
          </w:tcPr>
          <w:p>
            <w:pPr>
              <w:spacing w:after="0" w:before="0"/>
            </w:pPr>
            <w:r/>
            <w:r>
              <w:rPr>
                <w:rFonts w:ascii="Arial" w:hAnsi="Arial"/>
                <w:b w:val="0"/>
                <w:i w:val="0"/>
                <w:sz w:val="18"/>
              </w:rPr>
              <w:t>you let Lena know it isn't possible, offered a way to pay now, and warmly escalated the wire-transfer request to the specialist team.</w:t>
            </w:r>
          </w:p>
        </w:tc>
        <w:tc>
          <w:tcPr>
            <w:tcW w:type="dxa" w:w="5256"/>
            <w:vAlign w:val="center"/>
          </w:tcPr>
          <w:p>
            <w:pPr>
              <w:spacing w:after="0" w:before="0"/>
            </w:pPr>
            <w:r/>
            <w:r>
              <w:rPr>
                <w:rFonts w:ascii="Arial" w:hAnsi="Arial"/>
                <w:b w:val="0"/>
                <w:i w:val="0"/>
                <w:sz w:val="18"/>
              </w:rPr>
              <w:t>let the user know it isn't possible, offer a way to pay now (saved SEPA, card or PayPal), and escalate the wire-transfer request to the Risk Premium team, framed positively and without linking an article first.</w:t>
            </w:r>
          </w:p>
        </w:tc>
      </w:tr>
    </w:tbl>
    <w:p>
      <w:pPr>
        <w:spacing w:after="120" w:before="0"/>
      </w:pPr>
      <w:r>
        <w:rPr>
          <w:rFonts w:ascii="Arial" w:hAnsi="Arial"/>
          <w:b w:val="0"/>
          <w:i w:val="0"/>
          <w:sz w:val="18"/>
        </w:rPr>
      </w:r>
    </w:p>
    <w:p>
      <w:pPr>
        <w:spacing w:after="40" w:before="0"/>
      </w:pPr>
      <w:r>
        <w:rPr>
          <w:rFonts w:ascii="Arial" w:hAnsi="Arial"/>
          <w:b/>
          <w:i w:val="0"/>
          <w:color w:val="1155CC"/>
          <w:sz w:val="24"/>
        </w:rPr>
        <w:t>Legend</w:t>
      </w:r>
    </w:p>
    <w:p>
      <w:pPr>
        <w:spacing w:after="20" w:before="0"/>
      </w:pPr>
      <w:r>
        <w:rPr>
          <w:rFonts w:ascii="Arial" w:hAnsi="Arial"/>
          <w:b/>
          <w:i w:val="0"/>
          <w:sz w:val="18"/>
        </w:rPr>
        <w:t xml:space="preserve">Points:  </w:t>
      </w:r>
      <w:r>
        <w:rPr>
          <w:rFonts w:ascii="Arial" w:hAnsi="Arial"/>
          <w:b w:val="0"/>
          <w:i w:val="0"/>
          <w:color w:val="38761D"/>
          <w:sz w:val="18"/>
        </w:rPr>
        <w:t xml:space="preserve">✓ Correct (green)   </w:t>
      </w:r>
      <w:r>
        <w:rPr>
          <w:rFonts w:ascii="Arial" w:hAnsi="Arial"/>
          <w:b w:val="0"/>
          <w:i w:val="0"/>
          <w:color w:val="BF9000"/>
          <w:sz w:val="18"/>
        </w:rPr>
        <w:t xml:space="preserve">◐ Partial (amber)   </w:t>
      </w:r>
      <w:r>
        <w:rPr>
          <w:rFonts w:ascii="Arial" w:hAnsi="Arial"/>
          <w:b w:val="0"/>
          <w:i w:val="0"/>
          <w:color w:val="CC0000"/>
          <w:sz w:val="18"/>
        </w:rPr>
        <w:t>✗ Incorrect (red)</w:t>
      </w:r>
    </w:p>
    <w:p>
      <w:pPr>
        <w:spacing w:after="20" w:before="0"/>
      </w:pPr>
      <w:r>
        <w:rPr>
          <w:rFonts w:ascii="Arial" w:hAnsi="Arial"/>
          <w:b/>
          <w:i w:val="0"/>
          <w:sz w:val="18"/>
        </w:rPr>
        <w:t xml:space="preserve">Routing:  </w:t>
      </w:r>
      <w:r>
        <w:rPr>
          <w:rFonts w:ascii="Arial" w:hAnsi="Arial"/>
          <w:b w:val="0"/>
          <w:i w:val="0"/>
          <w:sz w:val="18"/>
        </w:rPr>
        <w:t>→ Advance    ↩ Retry (caller pushes back)    ■ End</w:t>
      </w:r>
    </w:p>
    <w:p>
      <w:pPr>
        <w:spacing w:after="20" w:before="0"/>
      </w:pPr>
      <w:r>
        <w:rPr>
          <w:rFonts w:ascii="Arial" w:hAnsi="Arial"/>
          <w:b/>
          <w:i w:val="0"/>
          <w:sz w:val="18"/>
        </w:rPr>
        <w:t xml:space="preserve">Caller responds:  </w:t>
      </w:r>
      <w:r>
        <w:rPr>
          <w:rFonts w:ascii="Arial" w:hAnsi="Arial"/>
          <w:b w:val="0"/>
          <w:i w:val="0"/>
          <w:sz w:val="18"/>
        </w:rPr>
        <w:t xml:space="preserve">neutral answer to the Expert's question    ·    </w:t>
      </w:r>
      <w:r>
        <w:rPr>
          <w:rFonts w:ascii="Arial" w:hAnsi="Arial"/>
          <w:b/>
          <w:i w:val="0"/>
          <w:color w:val="B45F06"/>
          <w:sz w:val="18"/>
        </w:rPr>
        <w:t>Consequence</w:t>
      </w:r>
      <w:r>
        <w:rPr>
          <w:rFonts w:ascii="Arial" w:hAnsi="Arial"/>
          <w:b w:val="0"/>
          <w:i w:val="0"/>
          <w:sz w:val="18"/>
        </w:rPr>
        <w:t xml:space="preserve"> = negative in-character reaction to a misstep (not a grade)</w:t>
      </w:r>
    </w:p>
    <w:p>
      <w:pPr>
        <w:spacing w:after="20" w:before="0"/>
      </w:pPr>
      <w:r>
        <w:rPr>
          <w:rFonts w:ascii="Arial" w:hAnsi="Arial"/>
          <w:b/>
          <w:i w:val="0"/>
          <w:sz w:val="18"/>
        </w:rPr>
        <w:t xml:space="preserve">Response type:  </w:t>
      </w:r>
      <w:r>
        <w:rPr>
          <w:rFonts w:ascii="Arial" w:hAnsi="Arial"/>
          <w:b w:val="0"/>
          <w:i w:val="0"/>
          <w:sz w:val="18"/>
        </w:rPr>
        <w:t>[Spoken] = shown in the chat thread    ·    [Action] = collected &amp; scored silently, not shown as a message</w:t>
      </w:r>
    </w:p>
    <w:p>
      <w:pPr>
        <w:spacing w:after="160" w:before="0"/>
      </w:pPr>
      <w:r>
        <w:rPr>
          <w:rFonts w:ascii="Arial" w:hAnsi="Arial"/>
          <w:b/>
          <w:i w:val="0"/>
          <w:sz w:val="18"/>
        </w:rPr>
        <w:t xml:space="preserve">Floating credit:  </w:t>
      </w:r>
      <w:r>
        <w:rPr>
          <w:rFonts w:ascii="Arial" w:hAnsi="Arial"/>
          <w:b w:val="0"/>
          <w:i w:val="0"/>
          <w:sz w:val="18"/>
        </w:rPr>
        <w:t>e.g. (+◐8 clarify) = extra partial credit toward another stage, earned early. Best score per stage wins; skips are recoverable.</w:t>
      </w:r>
    </w:p>
    <w:p>
      <w:pPr>
        <w:spacing w:after="60" w:before="0"/>
      </w:pPr>
      <w:r>
        <w:rPr>
          <w:rFonts w:ascii="Arial" w:hAnsi="Arial"/>
          <w:b/>
          <w:i w:val="0"/>
          <w:color w:val="1155CC"/>
          <w:sz w:val="24"/>
        </w:rPr>
        <w:t>Routing &amp; scoring matrix</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1584"/>
            <w:shd w:val="clear" w:color="auto" w:fill="1155CC"/>
            <w:vAlign w:val="center"/>
          </w:tcPr>
          <w:p>
            <w:pPr>
              <w:spacing w:after="0" w:before="0"/>
            </w:pPr>
            <w:r/>
            <w:r>
              <w:rPr>
                <w:rFonts w:ascii="Arial" w:hAnsi="Arial"/>
                <w:b/>
                <w:i w:val="0"/>
                <w:color w:val="FFFFFF"/>
                <w:sz w:val="18"/>
              </w:rPr>
              <w:t>Stage it scores</w:t>
            </w:r>
          </w:p>
        </w:tc>
        <w:tc>
          <w:tcPr>
            <w:tcW w:type="dxa" w:w="4608"/>
            <w:shd w:val="clear" w:color="auto" w:fill="1155CC"/>
            <w:vAlign w:val="center"/>
          </w:tcPr>
          <w:p>
            <w:pPr>
              <w:spacing w:after="0" w:before="0"/>
            </w:pPr>
            <w:r/>
            <w:r>
              <w:rPr>
                <w:rFonts w:ascii="Arial" w:hAnsi="Arial"/>
                <w:b/>
                <w:i w:val="0"/>
                <w:color w:val="FFFFFF"/>
                <w:sz w:val="18"/>
              </w:rPr>
              <w:t>What the learner picks</w:t>
            </w:r>
          </w:p>
        </w:tc>
        <w:tc>
          <w:tcPr>
            <w:tcW w:type="dxa" w:w="3600"/>
            <w:shd w:val="clear" w:color="auto" w:fill="1155CC"/>
            <w:vAlign w:val="center"/>
          </w:tcPr>
          <w:p>
            <w:pPr>
              <w:spacing w:after="0" w:before="0"/>
            </w:pPr>
            <w:r/>
            <w:r>
              <w:rPr>
                <w:rFonts w:ascii="Arial" w:hAnsi="Arial"/>
                <w:b/>
                <w:i w:val="0"/>
                <w:color w:val="FFFFFF"/>
                <w:sz w:val="18"/>
              </w:rPr>
              <w:t>Caller responds</w:t>
            </w:r>
          </w:p>
        </w:tc>
        <w:tc>
          <w:tcPr>
            <w:tcW w:type="dxa" w:w="1440"/>
            <w:shd w:val="clear" w:color="auto" w:fill="1155CC"/>
            <w:vAlign w:val="center"/>
          </w:tcPr>
          <w:p>
            <w:pPr>
              <w:spacing w:after="0" w:before="0"/>
            </w:pPr>
            <w:r/>
            <w:r>
              <w:rPr>
                <w:rFonts w:ascii="Arial" w:hAnsi="Arial"/>
                <w:b/>
                <w:i w:val="0"/>
                <w:color w:val="FFFFFF"/>
                <w:sz w:val="18"/>
              </w:rPr>
              <w:t>Points</w:t>
            </w:r>
          </w:p>
        </w:tc>
        <w:tc>
          <w:tcPr>
            <w:tcW w:type="dxa" w:w="2016"/>
            <w:shd w:val="clear" w:color="auto" w:fill="1155CC"/>
            <w:vAlign w:val="center"/>
          </w:tcPr>
          <w:p>
            <w:pPr>
              <w:spacing w:after="0" w:before="0"/>
            </w:pPr>
            <w:r/>
            <w:r>
              <w:rPr>
                <w:rFonts w:ascii="Arial" w:hAnsi="Arial"/>
                <w:b/>
                <w:i w:val="0"/>
                <w:color w:val="FFFFFF"/>
                <w:sz w:val="18"/>
              </w:rPr>
              <w:t>Routing / Goes to</w:t>
            </w:r>
          </w:p>
        </w:tc>
        <w:tc>
          <w:tcPr>
            <w:tcW w:type="dxa" w:w="1152"/>
            <w:shd w:val="clear" w:color="auto" w:fill="1155CC"/>
            <w:vAlign w:val="center"/>
          </w:tcPr>
          <w:p>
            <w:pPr>
              <w:spacing w:after="0" w:before="0"/>
            </w:pPr>
            <w:r/>
            <w:r>
              <w:rPr>
                <w:rFonts w:ascii="Arial" w:hAnsi="Arial"/>
                <w:b/>
                <w:i w:val="0"/>
                <w:color w:val="FFFFFF"/>
                <w:sz w:val="18"/>
              </w:rPr>
              <w:t>Max if retried</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“Hi! I want to pay for my Premium plan by wire transfer but it just won't let me. I've been trying for ages.”</w:t>
            </w:r>
          </w:p>
          <w:p>
            <w:pPr>
              <w:spacing w:after="0" w:before="20"/>
            </w:pPr>
            <w:r>
              <w:rPr>
                <w:rFonts w:ascii="Arial" w:hAnsi="Arial"/>
                <w:b w:val="0"/>
                <w:i/>
                <w:color w:val="5F6368"/>
                <w:sz w:val="16"/>
              </w:rPr>
              <w:t xml:space="preserve">Prompt: </w:t>
            </w:r>
            <w:r>
              <w:rPr>
                <w:rFonts w:ascii="Arial" w:hAnsi="Arial"/>
                <w:b w:val="0"/>
                <w:i/>
                <w:color w:val="5F6368"/>
                <w:sz w:val="16"/>
              </w:rPr>
              <w:t>“How do you respond?”</w:t>
            </w:r>
          </w:p>
        </w:tc>
      </w:tr>
      <w:tr>
        <w:tc>
          <w:tcPr>
            <w:tcW w:type="dxa" w:w="1584"/>
            <w:vMerge w:val="restart"/>
            <w:vAlign w:val="center"/>
          </w:tcPr>
          <w:p>
            <w:pPr>
              <w:spacing w:after="0" w:before="0"/>
            </w:pPr>
            <w:r/>
            <w:r>
              <w:rPr>
                <w:rFonts w:ascii="Arial" w:hAnsi="Arial"/>
                <w:b/>
                <w:i w:val="0"/>
                <w:sz w:val="18"/>
              </w:rPr>
              <w:t>Opening &amp; closing (5)</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“Hey! Try disabling your antivirus and reloading the checkout, then tell me if the option shows up.”</w:t>
            </w:r>
          </w:p>
        </w:tc>
        <w:tc>
          <w:tcPr>
            <w:tcW w:type="dxa" w:w="3600"/>
            <w:shd w:val="clear" w:color="auto" w:fill="FCE5CD"/>
            <w:vAlign w:val="center"/>
          </w:tcPr>
          <w:p>
            <w:pPr>
              <w:spacing w:after="0" w:before="0"/>
            </w:pPr>
            <w:r/>
            <w:r>
              <w:rPr>
                <w:rFonts w:ascii="Arial" w:hAnsi="Arial"/>
                <w:b/>
                <w:i w:val="0"/>
                <w:color w:val="B45F06"/>
                <w:sz w:val="16"/>
              </w:rPr>
              <w:t xml:space="preserve">Consequence: </w:t>
            </w:r>
            <w:r>
              <w:rPr>
                <w:rFonts w:ascii="Arial" w:hAnsi="Arial"/>
                <w:b w:val="0"/>
                <w:i w:val="0"/>
                <w:sz w:val="18"/>
              </w:rPr>
              <w:t>Lena: “Just tried it… still no wire transfer option anywhere.”</w:t>
            </w:r>
          </w:p>
        </w:tc>
        <w:tc>
          <w:tcPr>
            <w:tcW w:type="dxa" w:w="1440"/>
            <w:shd w:val="clear" w:color="auto" w:fill="FFF2CC"/>
            <w:vAlign w:val="center"/>
          </w:tcPr>
          <w:p>
            <w:pPr>
              <w:spacing w:after="0" w:before="0"/>
            </w:pPr>
            <w:r/>
            <w:r>
              <w:rPr>
                <w:rFonts w:ascii="Arial" w:hAnsi="Arial"/>
                <w:b/>
                <w:i w:val="0"/>
                <w:sz w:val="18"/>
              </w:rPr>
              <w:t>◐ 2</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s_dynamics</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“Are you getting an error, or is the option just not appearing at checkout? I want to point you the right way.”</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“No error, the option just isn't there at all.”</w:t>
            </w:r>
          </w:p>
        </w:tc>
        <w:tc>
          <w:tcPr>
            <w:tcW w:type="dxa" w:w="1440"/>
            <w:shd w:val="clear" w:color="auto" w:fill="F4CCCC"/>
            <w:vAlign w:val="center"/>
          </w:tcPr>
          <w:p>
            <w:pPr>
              <w:spacing w:after="0" w:before="0"/>
            </w:pPr>
            <w:r/>
            <w:r>
              <w:rPr>
                <w:rFonts w:ascii="Arial" w:hAnsi="Arial"/>
                <w:b/>
                <w:i w:val="0"/>
                <w:sz w:val="18"/>
              </w:rPr>
              <w:t>✗ 0  (+◐8 clarify)</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s_dynamics</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“Thanks for reaching out! Which country is your account based in? Payment options can vary by region.”</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“I'm in Germany.”</w:t>
            </w:r>
          </w:p>
        </w:tc>
        <w:tc>
          <w:tcPr>
            <w:tcW w:type="dxa" w:w="1440"/>
            <w:shd w:val="clear" w:color="auto" w:fill="FFF2CC"/>
            <w:vAlign w:val="center"/>
          </w:tcPr>
          <w:p>
            <w:pPr>
              <w:spacing w:after="0" w:before="0"/>
            </w:pPr>
            <w:r/>
            <w:r>
              <w:rPr>
                <w:rFonts w:ascii="Arial" w:hAnsi="Arial"/>
                <w:b/>
                <w:i w:val="0"/>
                <w:sz w:val="18"/>
              </w:rPr>
              <w:t>◐ 3  (+◐8 clarify)</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s_dynamics</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“Hi, you're through to Wix Support, I'm [name]. Sorry you've been stuck! Let's sort this out.”</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5  (+◐4 roadmap)</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s_dynamics</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sz w:val="18"/>
              </w:rPr>
              <w:t xml:space="preserve">Prompt: </w:t>
            </w:r>
            <w:r>
              <w:rPr>
                <w:rFonts w:ascii="Arial" w:hAnsi="Arial"/>
                <w:b w:val="0"/>
                <w:i w:val="0"/>
                <w:sz w:val="18"/>
              </w:rPr>
              <w:t>“What's your next step?”</w:t>
            </w:r>
          </w:p>
        </w:tc>
      </w:tr>
      <w:tr>
        <w:tc>
          <w:tcPr>
            <w:tcW w:type="dxa" w:w="1584"/>
            <w:vMerge w:val="restart"/>
            <w:vAlign w:val="center"/>
          </w:tcPr>
          <w:p>
            <w:pPr>
              <w:spacing w:after="0" w:before="0"/>
            </w:pPr>
            <w:r/>
            <w:r>
              <w:rPr>
                <w:rFonts w:ascii="Arial" w:hAnsi="Arial"/>
                <w:b/>
                <w:i w:val="0"/>
                <w:sz w:val="18"/>
              </w:rPr>
              <w:t>Use Dynamics (10)</w:t>
            </w: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Ask Lena to screenshot her checkout page and describe each payment option she can currently see.</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FF2CC"/>
            <w:vAlign w:val="center"/>
          </w:tcPr>
          <w:p>
            <w:pPr>
              <w:spacing w:after="0" w:before="0"/>
            </w:pPr>
            <w:r/>
            <w:r>
              <w:rPr>
                <w:rFonts w:ascii="Arial" w:hAnsi="Arial"/>
                <w:b/>
                <w:i w:val="0"/>
                <w:sz w:val="18"/>
              </w:rPr>
              <w:t>◐ 3</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s_familiarize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Confirm her email, then open her User Manager profile to see her plan, country and saved methods.</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“Sure, it's lena.b@gmail.com.”</w:t>
            </w:r>
          </w:p>
        </w:tc>
        <w:tc>
          <w:tcPr>
            <w:tcW w:type="dxa" w:w="1440"/>
            <w:shd w:val="clear" w:color="auto" w:fill="D9EAD3"/>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s_familiarize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Search the Help Center for “wire transfer” before opening her account.</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s_familiarize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sz w:val="18"/>
              </w:rPr>
              <w:t xml:space="preserve">Prompt: </w:t>
            </w:r>
            <w:r>
              <w:rPr>
                <w:rFonts w:ascii="Arial" w:hAnsi="Arial"/>
                <w:b w:val="0"/>
                <w:i w:val="0"/>
                <w:sz w:val="18"/>
              </w:rPr>
              <w:t>“How do you respond?”</w:t>
            </w:r>
          </w:p>
        </w:tc>
      </w:tr>
      <w:tr>
        <w:tc>
          <w:tcPr>
            <w:tcW w:type="dxa" w:w="1584"/>
            <w:vMerge w:val="restart"/>
            <w:vAlign w:val="center"/>
          </w:tcPr>
          <w:p>
            <w:pPr>
              <w:spacing w:after="0" w:before="0"/>
            </w:pPr>
            <w:r/>
            <w:r>
              <w:rPr>
                <w:rFonts w:ascii="Arial" w:hAnsi="Arial"/>
                <w:b/>
                <w:i w:val="0"/>
                <w:sz w:val="18"/>
              </w:rPr>
              <w:t>Familiarize (10)</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“Very exciting that you're getting a Premium plan, by the way! Are you looking to use it for a specific feature, or just an overall upgrade?”</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“Just an overall upgrade really. I'm trying to get my photography portfolio live this weekend, so I need it sorted today.”</w:t>
            </w:r>
          </w:p>
        </w:tc>
        <w:tc>
          <w:tcPr>
            <w:tcW w:type="dxa" w:w="1440"/>
            <w:shd w:val="clear" w:color="auto" w:fill="D9EAD3"/>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s_clarify</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“So what kind of site are you building? What's the business?”</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“It's a photography business.”</w:t>
            </w:r>
          </w:p>
        </w:tc>
        <w:tc>
          <w:tcPr>
            <w:tcW w:type="dxa" w:w="1440"/>
            <w:shd w:val="clear" w:color="auto" w:fill="FFF2CC"/>
            <w:vAlign w:val="center"/>
          </w:tcPr>
          <w:p>
            <w:pPr>
              <w:spacing w:after="0" w:before="0"/>
            </w:pPr>
            <w:r/>
            <w:r>
              <w:rPr>
                <w:rFonts w:ascii="Arial" w:hAnsi="Arial"/>
                <w:b/>
                <w:i w:val="0"/>
                <w:sz w:val="18"/>
              </w:rPr>
              <w:t>◐ 4</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s_clarify</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Assume a standard setup and move straight to the payment options.</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s_clarify</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“I just want to pay by wire transfer, like I do for my other business tools.”</w:t>
            </w:r>
          </w:p>
          <w:p>
            <w:pPr>
              <w:spacing w:after="0" w:before="20"/>
            </w:pPr>
            <w:r>
              <w:rPr>
                <w:rFonts w:ascii="Arial" w:hAnsi="Arial"/>
                <w:b w:val="0"/>
                <w:i/>
                <w:color w:val="5F6368"/>
                <w:sz w:val="16"/>
              </w:rPr>
              <w:t xml:space="preserve">Prompt: </w:t>
            </w:r>
            <w:r>
              <w:rPr>
                <w:rFonts w:ascii="Arial" w:hAnsi="Arial"/>
                <w:b w:val="0"/>
                <w:i/>
                <w:color w:val="5F6368"/>
                <w:sz w:val="16"/>
              </w:rPr>
              <w:t>“How do you respond?”</w:t>
            </w:r>
          </w:p>
        </w:tc>
      </w:tr>
      <w:tr>
        <w:tc>
          <w:tcPr>
            <w:tcW w:type="dxa" w:w="1584"/>
            <w:vMerge w:val="restart"/>
            <w:vAlign w:val="center"/>
          </w:tcPr>
          <w:p>
            <w:pPr>
              <w:spacing w:after="0" w:before="0"/>
            </w:pPr>
            <w:r/>
            <w:r>
              <w:rPr>
                <w:rFonts w:ascii="Arial" w:hAnsi="Arial"/>
                <w:b/>
                <w:i w:val="0"/>
                <w:sz w:val="18"/>
              </w:rPr>
              <w:t>Clarify the issue (15)</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“You can switch the method under Billing &amp; Payments to wire transfer.”</w:t>
            </w:r>
          </w:p>
        </w:tc>
        <w:tc>
          <w:tcPr>
            <w:tcW w:type="dxa" w:w="3600"/>
            <w:shd w:val="clear" w:color="auto" w:fill="FCE5CD"/>
            <w:vAlign w:val="center"/>
          </w:tcPr>
          <w:p>
            <w:pPr>
              <w:spacing w:after="0" w:before="0"/>
            </w:pPr>
            <w:r/>
            <w:r>
              <w:rPr>
                <w:rFonts w:ascii="Arial" w:hAnsi="Arial"/>
                <w:b/>
                <w:i w:val="0"/>
                <w:color w:val="B45F06"/>
                <w:sz w:val="16"/>
              </w:rPr>
              <w:t xml:space="preserve">Consequence: </w:t>
            </w:r>
            <w:r>
              <w:rPr>
                <w:rFonts w:ascii="Arial" w:hAnsi="Arial"/>
                <w:b w:val="0"/>
                <w:i w:val="0"/>
                <w:sz w:val="18"/>
              </w:rPr>
              <w:t>Lena: “There's no wire transfer option there at all. That's the whole problem.”</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674EA7"/>
            <w:vAlign w:val="center"/>
          </w:tcPr>
          <w:p>
            <w:pPr>
              <w:spacing w:after="0" w:before="0"/>
            </w:pPr>
            <w:r/>
            <w:r>
              <w:rPr>
                <w:rFonts w:ascii="Arial" w:hAnsi="Arial"/>
                <w:b/>
                <w:i w:val="0"/>
                <w:color w:val="FFFFFF"/>
                <w:sz w:val="18"/>
              </w:rPr>
              <w:t>↩ Retry</w:t>
            </w:r>
          </w:p>
          <w:p>
            <w:pPr>
              <w:spacing w:after="0" w:before="20"/>
            </w:pPr>
            <w:r>
              <w:rPr>
                <w:rFonts w:ascii="Arial" w:hAnsi="Arial"/>
                <w:b w:val="0"/>
                <w:i/>
                <w:color w:val="FFFFFF"/>
                <w:sz w:val="16"/>
              </w:rPr>
              <w:t>cap 8, then s_roadmap</w:t>
            </w:r>
          </w:p>
        </w:tc>
        <w:tc>
          <w:tcPr>
            <w:tcW w:type="dxa" w:w="1152"/>
            <w:vAlign w:val="center"/>
          </w:tcPr>
          <w:p>
            <w:pPr>
              <w:spacing w:after="0" w:before="0"/>
              <w:jc w:val="center"/>
            </w:pPr>
            <w:r/>
            <w:r>
              <w:rPr>
                <w:rFonts w:ascii="Arial" w:hAnsi="Arial"/>
                <w:b w:val="0"/>
                <w:i w:val="0"/>
                <w:sz w:val="18"/>
              </w:rPr>
              <w:t>8</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“Which country is your account billed in? Options really vary by region.”</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“I'm in Germany.”</w:t>
            </w:r>
          </w:p>
        </w:tc>
        <w:tc>
          <w:tcPr>
            <w:tcW w:type="dxa" w:w="1440"/>
            <w:shd w:val="clear" w:color="auto" w:fill="D9EAD3"/>
            <w:vAlign w:val="center"/>
          </w:tcPr>
          <w:p>
            <w:pPr>
              <w:spacing w:after="0" w:before="0"/>
            </w:pPr>
            <w:r/>
            <w:r>
              <w:rPr>
                <w:rFonts w:ascii="Arial" w:hAnsi="Arial"/>
                <w:b/>
                <w:i w:val="0"/>
                <w:sz w:val="18"/>
              </w:rPr>
              <w:t>✓ 15</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s_roadmap</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“Is a card giving you trouble, or is it wire transfer specifically that you're set on using?”</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“A card's fine, but I really want to pay by wire transfer.”</w:t>
            </w:r>
          </w:p>
        </w:tc>
        <w:tc>
          <w:tcPr>
            <w:tcW w:type="dxa" w:w="1440"/>
            <w:shd w:val="clear" w:color="auto" w:fill="FFF2CC"/>
            <w:vAlign w:val="center"/>
          </w:tcPr>
          <w:p>
            <w:pPr>
              <w:spacing w:after="0" w:before="0"/>
            </w:pPr>
            <w:r/>
            <w:r>
              <w:rPr>
                <w:rFonts w:ascii="Arial" w:hAnsi="Arial"/>
                <w:b/>
                <w:i w:val="0"/>
                <w:sz w:val="18"/>
              </w:rPr>
              <w:t>◐ 8</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s_roadmap</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“Okay… so what happens now?”</w:t>
            </w:r>
          </w:p>
          <w:p>
            <w:pPr>
              <w:spacing w:after="0" w:before="20"/>
            </w:pPr>
            <w:r>
              <w:rPr>
                <w:rFonts w:ascii="Arial" w:hAnsi="Arial"/>
                <w:b w:val="0"/>
                <w:i/>
                <w:color w:val="5F6368"/>
                <w:sz w:val="16"/>
              </w:rPr>
              <w:t xml:space="preserve">Prompt: </w:t>
            </w:r>
            <w:r>
              <w:rPr>
                <w:rFonts w:ascii="Arial" w:hAnsi="Arial"/>
                <w:b w:val="0"/>
                <w:i/>
                <w:color w:val="5F6368"/>
                <w:sz w:val="16"/>
              </w:rPr>
              <w:t>“How do you proceed?”</w:t>
            </w:r>
          </w:p>
        </w:tc>
      </w:tr>
      <w:tr>
        <w:tc>
          <w:tcPr>
            <w:tcW w:type="dxa" w:w="1584"/>
            <w:vMerge w:val="restart"/>
            <w:vAlign w:val="center"/>
          </w:tcPr>
          <w:p>
            <w:pPr>
              <w:spacing w:after="0" w:before="0"/>
            </w:pPr>
            <w:r/>
            <w:r>
              <w:rPr>
                <w:rFonts w:ascii="Arial" w:hAnsi="Arial"/>
                <w:b/>
                <w:i w:val="0"/>
                <w:sz w:val="18"/>
              </w:rPr>
              <w:t>Roadmapping (10)</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“Here's my plan. I'll check what works for Germany, then walk you through the best option.”</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s_article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“Give me a moment while I look into which payment options are actually available on your account.”</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FF2CC"/>
            <w:vAlign w:val="center"/>
          </w:tcPr>
          <w:p>
            <w:pPr>
              <w:spacing w:after="0" w:before="0"/>
            </w:pPr>
            <w:r/>
            <w:r>
              <w:rPr>
                <w:rFonts w:ascii="Arial" w:hAnsi="Arial"/>
                <w:b/>
                <w:i w:val="0"/>
                <w:sz w:val="18"/>
              </w:rPr>
              <w:t>◐ 5</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s_article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sz w:val="18"/>
              </w:rPr>
              <w:t xml:space="preserve">Prompt: </w:t>
            </w:r>
            <w:r>
              <w:rPr>
                <w:rFonts w:ascii="Arial" w:hAnsi="Arial"/>
                <w:b w:val="0"/>
                <w:i w:val="0"/>
                <w:sz w:val="18"/>
              </w:rPr>
              <w:t>“What do you do next?”</w:t>
            </w:r>
          </w:p>
        </w:tc>
      </w:tr>
      <w:tr>
        <w:tc>
          <w:tcPr>
            <w:tcW w:type="dxa" w:w="1584"/>
            <w:vMerge w:val="restart"/>
            <w:vAlign w:val="center"/>
          </w:tcPr>
          <w:p>
            <w:pPr>
              <w:spacing w:after="0" w:before="0"/>
            </w:pPr>
            <w:r/>
            <w:r>
              <w:rPr>
                <w:rFonts w:ascii="Arial" w:hAnsi="Arial"/>
                <w:b/>
                <w:i w:val="0"/>
                <w:sz w:val="18"/>
              </w:rPr>
              <w:t>Article / Copilot (20)</w:t>
            </w: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You've handled this before, so just tell Lena wire transfer isn't available and move on.</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t>[Action] Open “Billing German: Market-Specific Topics” (CSI) — the “Wire transfer for Wix services” section confirms it isn't possible.</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Pr>
                <w:b/>
              </w:rPr>
              <w:t>✓ 20</w:t>
            </w:r>
            <w:r>
              <w:rPr>
                <w:rFonts w:ascii="Arial" w:hAnsi="Arial"/>
                <w:b/>
                <w:i w:val="0"/>
                <w:sz w:val="18"/>
              </w:rPr>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t>[Action] Open “Payment Methods” (CSI) to confirm the payment methods Lena can use instead.</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20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1584"/>
            <w:vMerge w:val="restart"/>
            <w:vAlign w:val="center"/>
          </w:tcPr>
          <w:p>
            <w:pPr>
              <w:spacing w:after="0" w:before="0"/>
            </w:pPr>
            <w:r/>
            <w:r>
              <w:rPr>
                <w:rFonts w:ascii="Arial" w:hAnsi="Arial"/>
                <w:b/>
                <w:i w:val="0"/>
                <w:sz w:val="18"/>
              </w:rPr>
              <w:t>Article / Copilot (20)</w:t>
            </w:r>
          </w:p>
        </w:tc>
        <w:tc>
          <w:tcPr>
            <w:tcW w:type="dxa" w:w="4608"/>
            <w:vAlign w:val="center"/>
          </w:tcPr>
          <w:p>
            <w:pPr>
              <w:spacing w:after="0" w:before="0"/>
            </w:pPr>
            <w:r>
              <w:t>[Action] Search the Help Center for “Wire Transfers For Wix Services”.</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Pr>
                <w:b/>
              </w:rPr>
              <w:t>✗ 0</w:t>
            </w:r>
            <w:r>
              <w:rPr>
                <w:rFonts w:ascii="Arial" w:hAnsi="Arial"/>
                <w:b/>
                <w:i w:val="0"/>
                <w:sz w:val="18"/>
              </w:rPr>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1584"/>
            <w:vMerge w:val="restart"/>
            <w:vAlign w:val="center"/>
          </w:tcPr>
          <w:p>
            <w:pPr>
              <w:spacing w:after="0" w:before="0"/>
            </w:pPr>
            <w:r/>
            <w:r>
              <w:rPr>
                <w:rFonts w:ascii="Arial" w:hAnsi="Arial"/>
                <w:b/>
                <w:i w:val="0"/>
                <w:sz w:val="18"/>
              </w:rPr>
              <w:t>Article / Copilot (20)</w:t>
            </w:r>
          </w:p>
        </w:tc>
        <w:tc>
          <w:tcPr>
            <w:tcW w:type="dxa" w:w="4608"/>
            <w:vAlign w:val="center"/>
          </w:tcPr>
          <w:p>
            <w:pPr>
              <w:spacing w:after="0" w:before="0"/>
            </w:pPr>
            <w:r>
              <w:t>[Action] Open “Managing Your Payment Methods for Wix Services” (Help Center).</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Pr>
                <w:b/>
              </w:rPr>
              <w:t>✗ 0</w:t>
            </w:r>
            <w:r>
              <w:rPr>
                <w:rFonts w:ascii="Arial" w:hAnsi="Arial"/>
                <w:b/>
                <w:i w:val="0"/>
                <w:sz w:val="18"/>
              </w:rPr>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1584"/>
            <w:vMerge w:val="restart"/>
            <w:vAlign w:val="center"/>
          </w:tcPr>
          <w:p>
            <w:pPr>
              <w:spacing w:after="0" w:before="0"/>
            </w:pPr>
            <w:r/>
            <w:r>
              <w:rPr>
                <w:rFonts w:ascii="Arial" w:hAnsi="Arial"/>
                <w:b/>
                <w:i w:val="0"/>
                <w:sz w:val="18"/>
              </w:rPr>
              <w:t>Article / Copilot (20)</w:t>
            </w:r>
          </w:p>
        </w:tc>
        <w:tc>
          <w:tcPr>
            <w:tcW w:type="dxa" w:w="4608"/>
            <w:vAlign w:val="center"/>
          </w:tcPr>
          <w:p>
            <w:pPr>
              <w:spacing w:after="0" w:before="0"/>
            </w:pPr>
            <w:r>
              <w:t>[Action] Open “Available Payment Providers in Your Country” (Help Center).</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FFF2CC"/>
            <w:vAlign w:val="center"/>
          </w:tcPr>
          <w:p>
            <w:pPr>
              <w:spacing w:after="0" w:before="0"/>
            </w:pPr>
            <w:r>
              <w:rPr>
                <w:b/>
              </w:rPr>
              <w:t>◐ 10</w:t>
            </w:r>
            <w:r>
              <w:rPr>
                <w:rFonts w:ascii="Arial" w:hAnsi="Arial"/>
                <w:b/>
                <w:i w:val="0"/>
                <w:sz w:val="18"/>
              </w:rPr>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1584"/>
            <w:vMerge w:val="restart"/>
            <w:vAlign w:val="center"/>
          </w:tcPr>
          <w:p>
            <w:pPr>
              <w:spacing w:after="0" w:before="0"/>
            </w:pPr>
            <w:r/>
            <w:r>
              <w:rPr>
                <w:rFonts w:ascii="Arial" w:hAnsi="Arial"/>
                <w:b/>
                <w:i w:val="0"/>
                <w:sz w:val="18"/>
              </w:rPr>
              <w:t>Article / Copilot (20)</w:t>
            </w:r>
          </w:p>
        </w:tc>
        <w:tc>
          <w:tcPr>
            <w:tcW w:type="dxa" w:w="4608"/>
            <w:vAlign w:val="center"/>
          </w:tcPr>
          <w:p>
            <w:pPr>
              <w:spacing w:after="0" w:before="0"/>
            </w:pPr>
            <w:r>
              <w:t>[Action] Open “Billing French: Market-Specific Topics” (CSI) — wrong market (Lena is in Germany).</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Pr>
                <w:b/>
              </w:rPr>
              <w:t>✗ 0</w:t>
            </w:r>
            <w:r>
              <w:rPr>
                <w:rFonts w:ascii="Arial" w:hAnsi="Arial"/>
                <w:b/>
                <w:i w:val="0"/>
                <w:sz w:val="18"/>
              </w:rPr>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1584"/>
            <w:vMerge w:val="restart"/>
            <w:vAlign w:val="center"/>
          </w:tcPr>
          <w:p>
            <w:pPr>
              <w:spacing w:after="0" w:before="0"/>
            </w:pPr>
            <w:r/>
            <w:r>
              <w:rPr>
                <w:rFonts w:ascii="Arial" w:hAnsi="Arial"/>
                <w:b/>
                <w:i w:val="0"/>
                <w:sz w:val="18"/>
              </w:rPr>
              <w:t>Article / Copilot (20)</w:t>
            </w:r>
          </w:p>
        </w:tc>
        <w:tc>
          <w:tcPr>
            <w:tcW w:type="dxa" w:w="4608"/>
            <w:vAlign w:val="center"/>
          </w:tcPr>
          <w:p>
            <w:pPr>
              <w:spacing w:after="0" w:before="0"/>
            </w:pPr>
            <w:r>
              <w:t>[Action] Open “Request: Using Direct Bank Transfer to Purchase a Wix Premium Service” (feature-request article).</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Pr>
                <w:b/>
              </w:rPr>
              <w:t>✗ 0</w:t>
            </w:r>
            <w:r>
              <w:rPr>
                <w:rFonts w:ascii="Arial" w:hAnsi="Arial"/>
                <w:b/>
                <w:i w:val="0"/>
                <w:sz w:val="18"/>
              </w:rPr>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“Are you sure it's not just a glitch on my end?”</w:t>
            </w:r>
          </w:p>
          <w:p>
            <w:pPr>
              <w:spacing w:after="0" w:before="20"/>
            </w:pPr>
            <w:r>
              <w:rPr>
                <w:rFonts w:ascii="Arial" w:hAnsi="Arial"/>
                <w:b w:val="0"/>
                <w:i/>
                <w:color w:val="5F6368"/>
                <w:sz w:val="16"/>
              </w:rPr>
              <w:t xml:space="preserve">Prompt: </w:t>
            </w:r>
            <w:r>
              <w:rPr>
                <w:rFonts w:ascii="Arial" w:hAnsi="Arial"/>
                <w:b w:val="0"/>
                <w:i/>
                <w:color w:val="5F6368"/>
                <w:sz w:val="16"/>
              </w:rPr>
              <w:t>“What do you do next?”</w:t>
            </w:r>
          </w:p>
        </w:tc>
      </w:tr>
      <w:tr>
        <w:tc>
          <w:tcPr>
            <w:tcW w:type="dxa" w:w="1584"/>
            <w:vMerge w:val="restart"/>
            <w:vAlign w:val="center"/>
          </w:tcPr>
          <w:p>
            <w:pPr>
              <w:spacing w:after="0" w:before="0"/>
            </w:pPr>
            <w:r/>
            <w:r>
              <w:rPr>
                <w:rFonts w:ascii="Arial" w:hAnsi="Arial"/>
                <w:b/>
                <w:i w:val="0"/>
                <w:sz w:val="18"/>
              </w:rPr>
              <w:t>Recreate the issue (10)</w:t>
            </w: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Open Lena's checkout on your side to confirm the wire transfer option genuinely isn't there.</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s_solve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“Can you tell me exactly which payment options you see at checkout right now?”</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“Just card and PayPal, no bank option.”</w:t>
            </w:r>
          </w:p>
        </w:tc>
        <w:tc>
          <w:tcPr>
            <w:tcW w:type="dxa" w:w="1440"/>
            <w:shd w:val="clear" w:color="auto" w:fill="FFF2CC"/>
            <w:vAlign w:val="center"/>
          </w:tcPr>
          <w:p>
            <w:pPr>
              <w:spacing w:after="0" w:before="0"/>
            </w:pPr>
            <w:r/>
            <w:r>
              <w:rPr>
                <w:rFonts w:ascii="Arial" w:hAnsi="Arial"/>
                <w:b/>
                <w:i w:val="0"/>
                <w:sz w:val="18"/>
              </w:rPr>
              <w:t>◐ 5</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s_solve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“It's definitely not a glitch, wire transfer just isn't offered.”</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s_solve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“So… can I actually pay by bank transfer, or not?”</w:t>
            </w:r>
          </w:p>
          <w:p>
            <w:pPr>
              <w:spacing w:after="0" w:before="20"/>
            </w:pPr>
            <w:r>
              <w:rPr>
                <w:rFonts w:ascii="Arial" w:hAnsi="Arial"/>
                <w:b w:val="0"/>
                <w:i/>
                <w:color w:val="5F6368"/>
                <w:sz w:val="16"/>
              </w:rPr>
              <w:t xml:space="preserve">Prompt: </w:t>
            </w:r>
            <w:r>
              <w:rPr>
                <w:rFonts w:ascii="Arial" w:hAnsi="Arial"/>
                <w:b w:val="0"/>
                <w:i/>
                <w:color w:val="5F6368"/>
                <w:sz w:val="16"/>
              </w:rPr>
              <w:t>“How do you respond?”</w:t>
            </w:r>
          </w:p>
        </w:tc>
      </w:tr>
      <w:tr>
        <w:tc>
          <w:tcPr>
            <w:tcW w:type="dxa" w:w="1584"/>
            <w:vMerge w:val="restart"/>
            <w:vAlign w:val="center"/>
          </w:tcPr>
          <w:p>
            <w:pPr>
              <w:spacing w:after="0" w:before="0"/>
            </w:pPr>
            <w:r/>
            <w:r>
              <w:rPr>
                <w:rFonts w:ascii="Arial" w:hAnsi="Arial"/>
                <w:b/>
                <w:i w:val="0"/>
                <w:sz w:val="18"/>
              </w:rPr>
              <w:t>Solve the issue (20)</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“No need to worry, I can set up a wire transfer on our end for you right now.”</w:t>
            </w:r>
          </w:p>
        </w:tc>
        <w:tc>
          <w:tcPr>
            <w:tcW w:type="dxa" w:w="3600"/>
            <w:shd w:val="clear" w:color="auto" w:fill="FCE5CD"/>
            <w:vAlign w:val="center"/>
          </w:tcPr>
          <w:p>
            <w:pPr>
              <w:spacing w:after="0" w:before="0"/>
            </w:pPr>
            <w:r/>
            <w:r>
              <w:rPr>
                <w:rFonts w:ascii="Arial" w:hAnsi="Arial"/>
                <w:b/>
                <w:i w:val="0"/>
                <w:color w:val="B45F06"/>
                <w:sz w:val="16"/>
              </w:rPr>
              <w:t xml:space="preserve">Consequence: </w:t>
            </w:r>
            <w:r>
              <w:rPr>
                <w:rFonts w:ascii="Arial" w:hAnsi="Arial"/>
                <w:b w:val="0"/>
                <w:i w:val="0"/>
                <w:sz w:val="18"/>
              </w:rPr>
              <w:t>Lena: “Oh, great, so it does work after all?”</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“Paying by wire transfer isn't available, so you'll need another method. Is there anything else?”</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FF2CC"/>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“Paying by wire transfer isn't available here, but let's get you sorted. Do you have SEPA saved already? It can't be newly added and only covers Premium plans and domains. Otherwise a card or PayPal will get you paid today.”</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“No, I've never set that up here. A card's fine, thanks.”</w:t>
            </w:r>
          </w:p>
        </w:tc>
        <w:tc>
          <w:tcPr>
            <w:tcW w:type="dxa" w:w="1440"/>
            <w:shd w:val="clear" w:color="auto" w:fill="D9EAD3"/>
            <w:vAlign w:val="center"/>
          </w:tcPr>
          <w:p>
            <w:pPr>
              <w:spacing w:after="0" w:before="0"/>
            </w:pPr>
            <w:r>
              <w:rPr>
                <w:b/>
              </w:rPr>
              <w:t>✓ 20</w:t>
            </w:r>
            <w:r>
              <w:rPr>
                <w:rFonts w:ascii="Arial" w:hAnsi="Arial"/>
                <w:b/>
                <w:i w:val="0"/>
                <w:sz w:val="18"/>
              </w:rPr>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s_escalate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“Thanks. Can you still note that I wanted to pay by wire transfer, though?”</w:t>
            </w:r>
          </w:p>
          <w:p>
            <w:pPr>
              <w:spacing w:after="0" w:before="20"/>
            </w:pPr>
            <w:r>
              <w:rPr>
                <w:rFonts w:ascii="Arial" w:hAnsi="Arial"/>
                <w:b w:val="0"/>
                <w:i/>
                <w:color w:val="5F6368"/>
                <w:sz w:val="16"/>
              </w:rPr>
              <w:t xml:space="preserve">Prompt: </w:t>
            </w:r>
            <w:r>
              <w:rPr>
                <w:rFonts w:ascii="Arial" w:hAnsi="Arial"/>
                <w:b w:val="0"/>
                <w:i/>
                <w:color w:val="5F6368"/>
                <w:sz w:val="16"/>
              </w:rPr>
              <w:t>“How do you respond?”</w:t>
            </w:r>
          </w:p>
        </w:tc>
      </w:tr>
      <w:tr>
        <w:tc>
          <w:tcPr>
            <w:tcW w:type="dxa" w:w="1584"/>
            <w:vMerge w:val="restart"/>
            <w:vAlign w:val="center"/>
          </w:tcPr>
          <w:p>
            <w:pPr>
              <w:spacing w:after="0" w:before="0"/>
            </w:pPr>
            <w:r/>
            <w:r>
              <w:rPr>
                <w:rFonts w:ascii="Arial" w:hAnsi="Arial"/>
                <w:b/>
                <w:i w:val="0"/>
                <w:sz w:val="18"/>
              </w:rPr>
              <w:t>Solve the issue (20)</w:t>
            </w:r>
          </w:p>
        </w:tc>
        <w:tc>
          <w:tcPr>
            <w:tcW w:type="dxa" w:w="4608"/>
            <w:vAlign w:val="center"/>
          </w:tcPr>
          <w:p>
            <w:pPr>
              <w:spacing w:after="0" w:before="0"/>
            </w:pPr>
            <w:r>
              <w:t>[Action] Attach an article to her case, then transfer her to the specialist team.</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“Of course. I'll add a note with everything you've shared and connect you with a specialized team who can go over your options for this.”</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20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“I'm sorry, but there's really nothing more we can do about wire transfer.”</w:t>
            </w:r>
          </w:p>
        </w:tc>
        <w:tc>
          <w:tcPr>
            <w:tcW w:type="dxa" w:w="3600"/>
            <w:shd w:val="clear" w:color="auto" w:fill="FCE5CD"/>
            <w:vAlign w:val="center"/>
          </w:tcPr>
          <w:p>
            <w:pPr>
              <w:spacing w:after="0" w:before="0"/>
            </w:pPr>
            <w:r/>
            <w:r>
              <w:rPr>
                <w:rFonts w:ascii="Arial" w:hAnsi="Arial"/>
                <w:b/>
                <w:i w:val="0"/>
                <w:color w:val="B45F06"/>
                <w:sz w:val="16"/>
              </w:rPr>
              <w:t xml:space="preserve">Consequence: </w:t>
            </w:r>
            <w:r>
              <w:rPr>
                <w:rFonts w:ascii="Arial" w:hAnsi="Arial"/>
                <w:b w:val="0"/>
                <w:i w:val="0"/>
                <w:sz w:val="18"/>
              </w:rPr>
              <w:t>Lena: “So that's it? You won't even pass it on?”</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“Okay, thanks for looking into it.”</w:t>
            </w:r>
          </w:p>
          <w:p>
            <w:pPr>
              <w:spacing w:after="0" w:before="20"/>
            </w:pPr>
            <w:r>
              <w:rPr>
                <w:rFonts w:ascii="Arial" w:hAnsi="Arial"/>
                <w:b w:val="0"/>
                <w:i/>
                <w:color w:val="5F6368"/>
                <w:sz w:val="16"/>
              </w:rPr>
              <w:t xml:space="preserve">Prompt: </w:t>
            </w:r>
            <w:r>
              <w:rPr>
                <w:rFonts w:ascii="Arial" w:hAnsi="Arial"/>
                <w:b w:val="0"/>
                <w:i/>
                <w:color w:val="5F6368"/>
                <w:sz w:val="16"/>
              </w:rPr>
              <w:t>“How do you wrap up?”</w:t>
            </w:r>
          </w:p>
        </w:tc>
      </w:tr>
      <w:tr>
        <w:tc>
          <w:tcPr>
            <w:tcW w:type="dxa" w:w="1584"/>
            <w:vMerge w:val="restart"/>
            <w:vAlign w:val="center"/>
          </w:tcPr>
          <w:p>
            <w:pPr>
              <w:spacing w:after="0" w:before="0"/>
            </w:pPr>
            <w:r/>
            <w:r>
              <w:rPr>
                <w:rFonts w:ascii="Arial" w:hAnsi="Arial"/>
                <w:b/>
                <w:i w:val="0"/>
                <w:sz w:val="18"/>
              </w:rPr>
              <w:t>Opening &amp; closing (5)</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“No problem at all, thanks for your patience! Have a lovely rest of your day.”</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FF2CC"/>
            <w:vAlign w:val="center"/>
          </w:tcPr>
          <w:p>
            <w:pPr>
              <w:spacing w:after="0" w:before="0"/>
            </w:pPr>
            <w:r/>
            <w:r>
              <w:rPr>
                <w:rFonts w:ascii="Arial" w:hAnsi="Arial"/>
                <w:b/>
                <w:i w:val="0"/>
                <w:sz w:val="18"/>
              </w:rPr>
              <w:t>◐ 2</w:t>
            </w:r>
          </w:p>
        </w:tc>
        <w:tc>
          <w:tcPr>
            <w:tcW w:type="dxa" w:w="2016"/>
            <w:shd w:val="clear" w:color="auto" w:fill="666666"/>
            <w:vAlign w:val="center"/>
          </w:tcPr>
          <w:p>
            <w:pPr>
              <w:spacing w:after="0" w:before="0"/>
            </w:pPr>
            <w:r/>
            <w:r>
              <w:rPr>
                <w:rFonts w:ascii="Arial" w:hAnsi="Arial"/>
                <w:b/>
                <w:i w:val="0"/>
                <w:color w:val="FFFFFF"/>
                <w:sz w:val="18"/>
              </w:rPr>
              <w:t>■ End</w:t>
            </w:r>
          </w:p>
          <w:p>
            <w:pPr>
              <w:spacing w:after="0" w:before="20"/>
            </w:pPr>
            <w:r>
              <w:rPr>
                <w:rFonts w:ascii="Arial" w:hAnsi="Arial"/>
                <w:b w:val="0"/>
                <w:i w:val="0"/>
                <w:color w:val="FFFFFF"/>
                <w:sz w:val="16"/>
              </w:rPr>
              <w:t>End</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“Quick recap: paying by wire transfer isn't available, so I've noted your request and passed it to a specialist team who'll follow up. Meanwhile a card, PayPal, or saved SEPA will get you paid right away. Anything else I can help with?”</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5</w:t>
            </w:r>
          </w:p>
        </w:tc>
        <w:tc>
          <w:tcPr>
            <w:tcW w:type="dxa" w:w="2016"/>
            <w:shd w:val="clear" w:color="auto" w:fill="666666"/>
            <w:vAlign w:val="center"/>
          </w:tcPr>
          <w:p>
            <w:pPr>
              <w:spacing w:after="0" w:before="0"/>
            </w:pPr>
            <w:r/>
            <w:r>
              <w:rPr>
                <w:rFonts w:ascii="Arial" w:hAnsi="Arial"/>
                <w:b/>
                <w:i w:val="0"/>
                <w:color w:val="FFFFFF"/>
                <w:sz w:val="18"/>
              </w:rPr>
              <w:t>■ End</w:t>
            </w:r>
          </w:p>
          <w:p>
            <w:pPr>
              <w:spacing w:after="0" w:before="20"/>
            </w:pPr>
            <w:r>
              <w:rPr>
                <w:rFonts w:ascii="Arial" w:hAnsi="Arial"/>
                <w:b w:val="0"/>
                <w:i w:val="0"/>
                <w:color w:val="FFFFFF"/>
                <w:sz w:val="16"/>
              </w:rPr>
              <w:t>End</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“Great, thanks for contacting Wix.”</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666666"/>
            <w:vAlign w:val="center"/>
          </w:tcPr>
          <w:p>
            <w:pPr>
              <w:spacing w:after="0" w:before="0"/>
            </w:pPr>
            <w:r/>
            <w:r>
              <w:rPr>
                <w:rFonts w:ascii="Arial" w:hAnsi="Arial"/>
                <w:b/>
                <w:i w:val="0"/>
                <w:color w:val="FFFFFF"/>
                <w:sz w:val="18"/>
              </w:rPr>
              <w:t>■ End</w:t>
            </w:r>
          </w:p>
          <w:p>
            <w:pPr>
              <w:spacing w:after="0" w:before="20"/>
            </w:pPr>
            <w:r>
              <w:rPr>
                <w:rFonts w:ascii="Arial" w:hAnsi="Arial"/>
                <w:b w:val="0"/>
                <w:i w:val="0"/>
                <w:color w:val="FFFFFF"/>
                <w:sz w:val="16"/>
              </w:rPr>
              <w:t>End</w:t>
            </w:r>
          </w:p>
        </w:tc>
        <w:tc>
          <w:tcPr>
            <w:tcW w:type="dxa" w:w="1152"/>
            <w:vAlign w:val="center"/>
          </w:tcPr>
          <w:p>
            <w:pPr>
              <w:spacing w:after="0" w:before="0"/>
              <w:jc w:val="center"/>
            </w:pPr>
            <w:r/>
            <w:r>
              <w:rPr>
                <w:rFonts w:ascii="Arial" w:hAnsi="Arial"/>
                <w:b w:val="0"/>
                <w:i w:val="0"/>
                <w:sz w:val="18"/>
              </w:rPr>
              <w:t>—</w:t>
            </w:r>
          </w:p>
        </w:tc>
      </w:tr>
    </w:tbl>
    <w:p>
      <w:pPr>
        <w:spacing w:after="80" w:before="0"/>
      </w:pPr>
      <w:r>
        <w:rPr>
          <w:rFonts w:ascii="Arial" w:hAnsi="Arial"/>
          <w:b w:val="0"/>
          <w:i w:val="0"/>
          <w:sz w:val="18"/>
        </w:rPr>
      </w:r>
    </w:p>
    <w:p>
      <w:pPr>
        <w:spacing w:after="0" w:before="0"/>
      </w:pPr>
      <w:r>
        <w:rPr>
          <w:rFonts w:ascii="Arial" w:hAnsi="Arial"/>
          <w:b/>
          <w:i/>
          <w:sz w:val="16"/>
        </w:rPr>
        <w:t>Note: Feedback is withheld during play; no scores or colours show until the end. Colours here are for reviewers only. Correct-answer position is shuffled across screens. SME check pending: confirm the warm handoff to the specialist team is the correct full solve for wire-transfer requests.</w:t>
      </w:r>
      <w:r>
        <w:rPr>
          <w:rFonts w:ascii="Arial" w:hAnsi="Arial"/>
          <w:b w:val="0"/>
          <w:i/>
          <w:sz w:val="16"/>
        </w:rPr>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