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D5AA" w14:textId="77777777" w:rsidR="00D5747E" w:rsidRDefault="00000000">
      <w:pPr>
        <w:pStyle w:val="Rubrik1"/>
      </w:pPr>
      <w:r>
        <w:t>Platform Baseline Standard</w:t>
      </w:r>
    </w:p>
    <w:p w14:paraId="6E07B1E6" w14:textId="77777777" w:rsidR="00D5747E" w:rsidRDefault="00000000">
      <w:pPr>
        <w:pStyle w:val="Rubrik2"/>
      </w:pPr>
      <w:r>
        <w:t>SEAS + Sunthetics Edge Architecture</w:t>
      </w:r>
    </w:p>
    <w:p w14:paraId="3840A7E9" w14:textId="77777777" w:rsidR="00D5747E" w:rsidRDefault="00000000">
      <w:r>
        <w:t>Grid-Integrated CHP2X &amp; Energy Banking Systems</w:t>
      </w:r>
    </w:p>
    <w:p w14:paraId="237669F1" w14:textId="77777777" w:rsidR="00D5747E" w:rsidRDefault="00000000">
      <w:pPr>
        <w:pStyle w:val="Rubrik2"/>
      </w:pPr>
      <w:r>
        <w:t>1. Scope &amp; Architectural Context</w:t>
      </w:r>
    </w:p>
    <w:p w14:paraId="10CB034B" w14:textId="77777777" w:rsidR="00D5747E" w:rsidRDefault="00000000">
      <w:r>
        <w:t>This standard governs all computing nodes within the Sunthetics CHP2X ecosystem, including:</w:t>
      </w:r>
    </w:p>
    <w:p w14:paraId="574A0553" w14:textId="77777777" w:rsidR="00D5747E" w:rsidRDefault="00000000">
      <w:r>
        <w:t>- SEAS Edge Servers</w:t>
      </w:r>
    </w:p>
    <w:p w14:paraId="4DBB1A04" w14:textId="77777777" w:rsidR="00D5747E" w:rsidRDefault="00000000">
      <w:r>
        <w:t>- SCWE/Methanol reactor controllers</w:t>
      </w:r>
    </w:p>
    <w:p w14:paraId="1DE1F5A1" w14:textId="77777777" w:rsidR="00D5747E" w:rsidRDefault="00000000">
      <w:r>
        <w:t>- CHP generator control nodes</w:t>
      </w:r>
    </w:p>
    <w:p w14:paraId="0098E3BB" w14:textId="77777777" w:rsidR="00D5747E" w:rsidRDefault="00000000">
      <w:r>
        <w:t>- DAC control nodes</w:t>
      </w:r>
    </w:p>
    <w:p w14:paraId="04651FEE" w14:textId="77777777" w:rsidR="00D5747E" w:rsidRDefault="00000000">
      <w:r>
        <w:t>- Local energy storage control modules</w:t>
      </w:r>
    </w:p>
    <w:p w14:paraId="36869A45" w14:textId="77777777" w:rsidR="00D5747E" w:rsidRDefault="00000000">
      <w:r>
        <w:t>- Grid/EMS interface gateways</w:t>
      </w:r>
    </w:p>
    <w:p w14:paraId="64D91FDE" w14:textId="77777777" w:rsidR="00D5747E" w:rsidRDefault="00000000">
      <w:r>
        <w:t>- Energy data attestation nodes (Proof-of-Energy)</w:t>
      </w:r>
    </w:p>
    <w:p w14:paraId="78A8853A" w14:textId="77777777" w:rsidR="00D5747E" w:rsidRDefault="00000000">
      <w:r>
        <w:t>The architecture consists of an OT Layer (Unipi PLCs), an Edge Layer (SEAS industrial Linux servers), and a Cloud/Distributed Layer for analytics, redundancy, and verification.</w:t>
      </w:r>
    </w:p>
    <w:p w14:paraId="740BEC64" w14:textId="77777777" w:rsidR="00D5747E" w:rsidRDefault="00000000">
      <w:pPr>
        <w:pStyle w:val="Rubrik2"/>
      </w:pPr>
      <w:r>
        <w:t>2. Operating System Standard (SEAS Edge Nodes)</w:t>
      </w:r>
    </w:p>
    <w:p w14:paraId="0878AEF1" w14:textId="77777777" w:rsidR="00D5747E" w:rsidRDefault="00000000">
      <w:pPr>
        <w:pStyle w:val="Rubrik3"/>
      </w:pPr>
      <w:r>
        <w:t>2.1 Approved OS Profile</w:t>
      </w:r>
    </w:p>
    <w:p w14:paraId="18DC1BB6" w14:textId="77777777" w:rsidR="00D5747E" w:rsidRDefault="00000000">
      <w:r>
        <w:t>- Industrial Linux LTS (Ubuntu LTS or Debian Stable preferred)</w:t>
      </w:r>
    </w:p>
    <w:p w14:paraId="4F1FC585" w14:textId="77777777" w:rsidR="00D5747E" w:rsidRDefault="00000000">
      <w:r>
        <w:t>- Kernel LTS with optional PREEMPT_RT if required</w:t>
      </w:r>
    </w:p>
    <w:p w14:paraId="10E96632" w14:textId="77777777" w:rsidR="00D5747E" w:rsidRDefault="00000000">
      <w:r>
        <w:t>- Minimum 5-year security maintenance window</w:t>
      </w:r>
    </w:p>
    <w:p w14:paraId="65024EB3" w14:textId="77777777" w:rsidR="00D5747E" w:rsidRDefault="00000000">
      <w:pPr>
        <w:pStyle w:val="Rubrik3"/>
      </w:pPr>
      <w:r>
        <w:t>2.2 Role Separation</w:t>
      </w:r>
    </w:p>
    <w:p w14:paraId="24920E42" w14:textId="77777777" w:rsidR="00D5747E" w:rsidRDefault="00000000">
      <w:r>
        <w:t>Each SEAS edge node shall logically separate control services, data acquisition, optimization/AI modules, grid/EMS interfaces, blockchain/attestation modules, and system management services via container isolation.</w:t>
      </w:r>
    </w:p>
    <w:p w14:paraId="1239BCAA" w14:textId="77777777" w:rsidR="00D5747E" w:rsidRDefault="00000000">
      <w:pPr>
        <w:pStyle w:val="Rubrik2"/>
      </w:pPr>
      <w:r>
        <w:t>3. OT/PLC Integration Layer (Unipi + SEAS)</w:t>
      </w:r>
    </w:p>
    <w:p w14:paraId="4C07928F" w14:textId="77777777" w:rsidR="00D5747E" w:rsidRDefault="00000000">
      <w:pPr>
        <w:pStyle w:val="Rubrik3"/>
      </w:pPr>
      <w:r>
        <w:t>3.1 Deterministic Control Boundary</w:t>
      </w:r>
    </w:p>
    <w:p w14:paraId="598E58C1" w14:textId="77777777" w:rsidR="00D5747E" w:rsidRDefault="00000000">
      <w:r>
        <w:t>All hard real-time safety logic remains in PLC, including pressure control, thermal protection, hydrogen monitoring, DAC airflow control, and emergency shutdown.</w:t>
      </w:r>
    </w:p>
    <w:p w14:paraId="44EFD807" w14:textId="77777777" w:rsidR="00D5747E" w:rsidRDefault="00000000">
      <w:pPr>
        <w:pStyle w:val="Rubrik3"/>
      </w:pPr>
      <w:r>
        <w:lastRenderedPageBreak/>
        <w:t>3.2 Communication Interface</w:t>
      </w:r>
    </w:p>
    <w:p w14:paraId="403F5E4F" w14:textId="77777777" w:rsidR="00D5747E" w:rsidRDefault="00000000">
      <w:r>
        <w:t>- Modbus TCP or OPC UA (preferred)</w:t>
      </w:r>
    </w:p>
    <w:p w14:paraId="5A11C767" w14:textId="77777777" w:rsidR="00D5747E" w:rsidRDefault="00000000">
      <w:r>
        <w:t>- Read-only supervisory access for AI modules</w:t>
      </w:r>
    </w:p>
    <w:p w14:paraId="771B97ED" w14:textId="77777777" w:rsidR="00D5747E" w:rsidRDefault="00000000">
      <w:r>
        <w:t>- Restricted write access with strict validation layer</w:t>
      </w:r>
    </w:p>
    <w:p w14:paraId="78A0534F" w14:textId="77777777" w:rsidR="00D5747E" w:rsidRDefault="00000000">
      <w:pPr>
        <w:pStyle w:val="Rubrik2"/>
      </w:pPr>
      <w:r>
        <w:t>4. Container Runtime &amp; Service Architecture</w:t>
      </w:r>
    </w:p>
    <w:p w14:paraId="39A8F36A" w14:textId="77777777" w:rsidR="00D5747E" w:rsidRDefault="00000000">
      <w:r>
        <w:t>All SEAS services must run in immutable, version-controlled containers.</w:t>
      </w:r>
    </w:p>
    <w:p w14:paraId="218EEAC6" w14:textId="77777777" w:rsidR="00D5747E" w:rsidRDefault="00000000">
      <w:r>
        <w:t>Standard services include data collection, telemetry normalization, grid connectors, optimization engine, forecast engine, event management, Proof-of-Energy module, OTA agent, and monitoring agent.</w:t>
      </w:r>
    </w:p>
    <w:p w14:paraId="02D1696D" w14:textId="77777777" w:rsidR="00D5747E" w:rsidRDefault="00000000">
      <w:pPr>
        <w:pStyle w:val="Rubrik2"/>
      </w:pPr>
      <w:r>
        <w:t>5. Local Autonomy &amp; Fail-Safe Behavior</w:t>
      </w:r>
    </w:p>
    <w:p w14:paraId="36C6369E" w14:textId="77777777" w:rsidR="00D5747E" w:rsidRDefault="00000000">
      <w:r>
        <w:t>System must maintain safe operation during communication loss and buffer telemetry locally.</w:t>
      </w:r>
    </w:p>
    <w:p w14:paraId="6D2A11D5" w14:textId="77777777" w:rsidR="00D5747E" w:rsidRDefault="00000000">
      <w:r>
        <w:t>PLC executes shutdown independently during critical faults such as pressure anomalies or hydrogen leaks.</w:t>
      </w:r>
    </w:p>
    <w:p w14:paraId="01FAFF56" w14:textId="77777777" w:rsidR="00D5747E" w:rsidRDefault="00000000">
      <w:pPr>
        <w:pStyle w:val="Rubrik2"/>
      </w:pPr>
      <w:r>
        <w:t>6. Secure Communication Architecture</w:t>
      </w:r>
    </w:p>
    <w:p w14:paraId="15222963" w14:textId="77777777" w:rsidR="00D5747E" w:rsidRDefault="00000000">
      <w:r>
        <w:t>- Unique device identity per node</w:t>
      </w:r>
    </w:p>
    <w:p w14:paraId="5A9A75B6" w14:textId="77777777" w:rsidR="00D5747E" w:rsidRDefault="00000000">
      <w:r>
        <w:t>- Certificate-based authentication (mTLS)</w:t>
      </w:r>
    </w:p>
    <w:p w14:paraId="72A2A12E" w14:textId="77777777" w:rsidR="00D5747E" w:rsidRDefault="00000000">
      <w:r>
        <w:t>- Network segmentation between OT, internal services, grid interface, and external cloud</w:t>
      </w:r>
    </w:p>
    <w:p w14:paraId="640E4849" w14:textId="77777777" w:rsidR="00D5747E" w:rsidRDefault="00000000">
      <w:pPr>
        <w:pStyle w:val="Rubrik2"/>
      </w:pPr>
      <w:r>
        <w:t>7. Observability &amp; Energy Traceability</w:t>
      </w:r>
    </w:p>
    <w:p w14:paraId="12F80BFD" w14:textId="77777777" w:rsidR="00D5747E" w:rsidRDefault="00000000">
      <w:r>
        <w:t>Required telemetry includes power, methanol production, hydrogen generation, pressure, temperature, DAC rate, storage state, and efficiency KPIs.</w:t>
      </w:r>
    </w:p>
    <w:p w14:paraId="50F098DD" w14:textId="77777777" w:rsidR="00D5747E" w:rsidRDefault="00000000">
      <w:r>
        <w:t>All telemetry must be time-synchronized and cryptographically protected.</w:t>
      </w:r>
    </w:p>
    <w:p w14:paraId="392539B7" w14:textId="77777777" w:rsidR="00D5747E" w:rsidRDefault="00000000">
      <w:pPr>
        <w:pStyle w:val="Rubrik2"/>
      </w:pPr>
      <w:r>
        <w:t>8. AI / Optimization Modules</w:t>
      </w:r>
    </w:p>
    <w:p w14:paraId="6423FCBE" w14:textId="77777777" w:rsidR="00D5747E" w:rsidRDefault="00000000">
      <w:r>
        <w:t>AI modules operate in sandboxed containers with read-only telemetry access.</w:t>
      </w:r>
    </w:p>
    <w:p w14:paraId="53A3E801" w14:textId="77777777" w:rsidR="00D5747E" w:rsidRDefault="00000000">
      <w:r>
        <w:t>Safety-critical parameters remain enforced in PLC and cannot be overridden by AI.</w:t>
      </w:r>
    </w:p>
    <w:p w14:paraId="5208462E" w14:textId="77777777" w:rsidR="00D5747E" w:rsidRDefault="00000000">
      <w:pPr>
        <w:pStyle w:val="Rubrik2"/>
      </w:pPr>
      <w:r>
        <w:t>9. Over-the-Air (OTA) &amp; Lifecycle Management</w:t>
      </w:r>
    </w:p>
    <w:p w14:paraId="2279280E" w14:textId="77777777" w:rsidR="00D5747E" w:rsidRDefault="00000000">
      <w:r>
        <w:t>Updates must be digitally signed with rollback capability and staged deployment support.</w:t>
      </w:r>
    </w:p>
    <w:p w14:paraId="1D0276A8" w14:textId="77777777" w:rsidR="00D5747E" w:rsidRDefault="00000000">
      <w:r>
        <w:t>Safety-critical PLC updates require controlled downtime procedures.</w:t>
      </w:r>
    </w:p>
    <w:p w14:paraId="028ECF25" w14:textId="77777777" w:rsidR="00D5747E" w:rsidRDefault="00000000">
      <w:pPr>
        <w:pStyle w:val="Rubrik2"/>
      </w:pPr>
      <w:r>
        <w:t>10. Distributed Data Center Compatibility</w:t>
      </w:r>
    </w:p>
    <w:p w14:paraId="3BAD7630" w14:textId="77777777" w:rsidR="00D5747E" w:rsidRDefault="00000000">
      <w:r>
        <w:t>SEAS nodes must support horizontal replication, distributed storage sync, and redundant energy attestation.</w:t>
      </w:r>
    </w:p>
    <w:p w14:paraId="089BEEAD" w14:textId="77777777" w:rsidR="00D5747E" w:rsidRDefault="00000000">
      <w:r>
        <w:lastRenderedPageBreak/>
        <w:t>Edge systems must remain operational if isolated from the distributed cluster.</w:t>
      </w:r>
    </w:p>
    <w:p w14:paraId="61202828" w14:textId="77777777" w:rsidR="00D5747E" w:rsidRDefault="00000000">
      <w:pPr>
        <w:pStyle w:val="Rubrik2"/>
      </w:pPr>
      <w:r>
        <w:t>11. Reference SEAS + Sunthetics Node Profile</w:t>
      </w:r>
    </w:p>
    <w:p w14:paraId="29B1610C" w14:textId="77777777" w:rsidR="00D5747E" w:rsidRDefault="00000000">
      <w:r>
        <w:t>Each compliant node includes hardened Linux LTS, container runtime, PLC drivers, grid adapter, local AI optimizer, monitoring stack, OTA agent, cryptographic module, secure storage, and watchdog.</w:t>
      </w:r>
    </w:p>
    <w:p w14:paraId="14E4CD06" w14:textId="77777777" w:rsidR="00D5747E" w:rsidRDefault="00000000">
      <w:pPr>
        <w:pStyle w:val="Rubrik2"/>
      </w:pPr>
      <w:r>
        <w:t>12. Strategic Design Principle</w:t>
      </w:r>
    </w:p>
    <w:p w14:paraId="289A137B" w14:textId="77777777" w:rsidR="00D5747E" w:rsidRDefault="00000000">
      <w:r>
        <w:t>The SEAS + Sunthetics platform is built on physical autonomy, deterministic safety, cryptographic energy integrity, modular scalability, and grid interoperability without grid dependency.</w:t>
      </w:r>
    </w:p>
    <w:p w14:paraId="39EA2748" w14:textId="77777777" w:rsidR="00D5747E" w:rsidRDefault="00000000">
      <w:r>
        <w:t>The digital layer must never introduce instability into the physical energy layer.</w:t>
      </w:r>
    </w:p>
    <w:sectPr w:rsidR="00D57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382669">
    <w:abstractNumId w:val="8"/>
  </w:num>
  <w:num w:numId="2" w16cid:durableId="177161614">
    <w:abstractNumId w:val="6"/>
  </w:num>
  <w:num w:numId="3" w16cid:durableId="33846612">
    <w:abstractNumId w:val="5"/>
  </w:num>
  <w:num w:numId="4" w16cid:durableId="1914243473">
    <w:abstractNumId w:val="4"/>
  </w:num>
  <w:num w:numId="5" w16cid:durableId="1807435333">
    <w:abstractNumId w:val="7"/>
  </w:num>
  <w:num w:numId="6" w16cid:durableId="41099978">
    <w:abstractNumId w:val="3"/>
  </w:num>
  <w:num w:numId="7" w16cid:durableId="1969776727">
    <w:abstractNumId w:val="2"/>
  </w:num>
  <w:num w:numId="8" w16cid:durableId="1806317521">
    <w:abstractNumId w:val="1"/>
  </w:num>
  <w:num w:numId="9" w16cid:durableId="69982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DEE"/>
    <w:rsid w:val="00326F90"/>
    <w:rsid w:val="003B4411"/>
    <w:rsid w:val="004113DE"/>
    <w:rsid w:val="00AA1D8D"/>
    <w:rsid w:val="00B47730"/>
    <w:rsid w:val="00CB0664"/>
    <w:rsid w:val="00D57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77A83"/>
  <w14:defaultImageDpi w14:val="300"/>
  <w15:docId w15:val="{FD959CB4-27A7-E348-A511-392B1813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486</Words>
  <Characters>3190</Characters>
  <Application>Microsoft Office Word</Application>
  <DocSecurity>0</DocSecurity>
  <Lines>69</Lines>
  <Paragraphs>54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Mastonstråle</cp:lastModifiedBy>
  <cp:revision>2</cp:revision>
  <dcterms:created xsi:type="dcterms:W3CDTF">2013-12-23T23:15:00Z</dcterms:created>
  <dcterms:modified xsi:type="dcterms:W3CDTF">2026-03-03T14:02:00Z</dcterms:modified>
  <cp:category/>
</cp:coreProperties>
</file>